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C734B" w14:textId="77777777" w:rsidR="0083225F" w:rsidRPr="003D77BF" w:rsidRDefault="0083225F" w:rsidP="004F669C">
      <w:pPr>
        <w:spacing w:after="3360" w:line="240" w:lineRule="auto"/>
        <w:ind w:right="851"/>
        <w:rPr>
          <w:lang w:val="de-DE"/>
        </w:rPr>
      </w:pPr>
    </w:p>
    <w:p w14:paraId="47DBD85B" w14:textId="49150FD8" w:rsidR="00FA570A" w:rsidRPr="00366482" w:rsidRDefault="00366482" w:rsidP="004F669C">
      <w:pPr>
        <w:pStyle w:val="Untertitel"/>
        <w:rPr>
          <w:lang w:val="en-US"/>
        </w:rPr>
      </w:pPr>
      <w:r w:rsidRPr="00366482">
        <w:rPr>
          <w:b/>
          <w:color w:val="FFFFFF" w:themeColor="background1"/>
          <w:sz w:val="36"/>
          <w:szCs w:val="40"/>
          <w:lang w:val="en-US"/>
        </w:rPr>
        <w:t>A</w:t>
      </w:r>
      <w:r>
        <w:rPr>
          <w:b/>
          <w:color w:val="FFFFFF" w:themeColor="background1"/>
          <w:sz w:val="36"/>
          <w:szCs w:val="40"/>
          <w:lang w:val="en-US"/>
        </w:rPr>
        <w:t>mendment</w:t>
      </w:r>
      <w:r w:rsidRPr="00366482">
        <w:rPr>
          <w:b/>
          <w:color w:val="FFFFFF" w:themeColor="background1"/>
          <w:sz w:val="36"/>
          <w:szCs w:val="40"/>
          <w:lang w:val="en-US"/>
        </w:rPr>
        <w:t xml:space="preserve"> proposals for </w:t>
      </w:r>
      <w:r>
        <w:rPr>
          <w:b/>
          <w:color w:val="FFFFFF" w:themeColor="background1"/>
          <w:sz w:val="36"/>
          <w:szCs w:val="40"/>
          <w:lang w:val="en-US"/>
        </w:rPr>
        <w:t xml:space="preserve">NC </w:t>
      </w:r>
      <w:proofErr w:type="spellStart"/>
      <w:r w:rsidRPr="00366482">
        <w:rPr>
          <w:b/>
          <w:color w:val="FFFFFF" w:themeColor="background1"/>
          <w:sz w:val="36"/>
          <w:szCs w:val="40"/>
          <w:lang w:val="en-US"/>
        </w:rPr>
        <w:t>RfG</w:t>
      </w:r>
      <w:proofErr w:type="spellEnd"/>
      <w:r w:rsidRPr="00366482">
        <w:rPr>
          <w:b/>
          <w:color w:val="FFFFFF" w:themeColor="background1"/>
          <w:sz w:val="36"/>
          <w:szCs w:val="40"/>
          <w:lang w:val="en-US"/>
        </w:rPr>
        <w:t xml:space="preserve"> </w:t>
      </w:r>
      <w:r>
        <w:rPr>
          <w:b/>
          <w:color w:val="FFFFFF" w:themeColor="background1"/>
          <w:sz w:val="36"/>
          <w:szCs w:val="40"/>
          <w:lang w:val="en-US"/>
        </w:rPr>
        <w:t>and NC DCC</w:t>
      </w:r>
      <w:sdt>
        <w:sdtPr>
          <w:rPr>
            <w:lang w:val="en-US"/>
          </w:rPr>
          <w:id w:val="-1514217948"/>
          <w:placeholder>
            <w:docPart w:val="C2013AB3D31741ABAE26F0ECF63A3779"/>
          </w:placeholder>
          <w:text w:multiLine="1"/>
        </w:sdtPr>
        <w:sdtContent>
          <w:r>
            <w:rPr>
              <w:lang w:val="en-US"/>
            </w:rPr>
            <w:br/>
            <w:t xml:space="preserve">From: </w:t>
          </w:r>
          <w:proofErr w:type="spellStart"/>
          <w:r>
            <w:rPr>
              <w:lang w:val="en-US"/>
            </w:rPr>
            <w:t>Oesterreichs</w:t>
          </w:r>
          <w:proofErr w:type="spellEnd"/>
          <w:r>
            <w:rPr>
              <w:lang w:val="en-US"/>
            </w:rPr>
            <w:t xml:space="preserve"> </w:t>
          </w:r>
          <w:proofErr w:type="spellStart"/>
          <w:r>
            <w:rPr>
              <w:lang w:val="en-US"/>
            </w:rPr>
            <w:t>Energie</w:t>
          </w:r>
          <w:proofErr w:type="spellEnd"/>
        </w:sdtContent>
      </w:sdt>
    </w:p>
    <w:p w14:paraId="49218A3B" w14:textId="120494F6" w:rsidR="00614D85" w:rsidRPr="00354E52" w:rsidRDefault="00FA570A" w:rsidP="00366482">
      <w:pPr>
        <w:pStyle w:val="berschrift1"/>
        <w:rPr>
          <w:lang w:val="en-GB"/>
        </w:rPr>
      </w:pPr>
      <w:r w:rsidRPr="00366482">
        <w:rPr>
          <w:lang w:val="en-US"/>
        </w:rPr>
        <w:br w:type="column"/>
      </w:r>
      <w:r w:rsidR="00366482" w:rsidRPr="00354E52">
        <w:rPr>
          <w:lang w:val="en-GB"/>
        </w:rPr>
        <w:lastRenderedPageBreak/>
        <w:t>Amendment proposal</w:t>
      </w:r>
      <w:r w:rsidR="00354E52">
        <w:rPr>
          <w:lang w:val="en-GB"/>
        </w:rPr>
        <w:t>s</w:t>
      </w:r>
      <w:r w:rsidR="00366482" w:rsidRPr="00354E52">
        <w:rPr>
          <w:lang w:val="en-GB"/>
        </w:rPr>
        <w:t xml:space="preserve"> for NC </w:t>
      </w:r>
      <w:proofErr w:type="spellStart"/>
      <w:r w:rsidR="00366482" w:rsidRPr="00354E52">
        <w:rPr>
          <w:lang w:val="en-GB"/>
        </w:rPr>
        <w:t>RfG</w:t>
      </w:r>
      <w:proofErr w:type="spellEnd"/>
    </w:p>
    <w:p w14:paraId="49C1B49D" w14:textId="5FD0D591" w:rsidR="00354E52" w:rsidRDefault="00354E52" w:rsidP="00354E52">
      <w:pPr>
        <w:pStyle w:val="berschrift2"/>
        <w:rPr>
          <w:lang w:val="en-GB"/>
        </w:rPr>
      </w:pPr>
      <w:r>
        <w:rPr>
          <w:lang w:val="en-GB"/>
        </w:rPr>
        <w:t>Mixed Customer Sites</w:t>
      </w:r>
      <w:r w:rsidR="00E1178C">
        <w:rPr>
          <w:lang w:val="en-GB"/>
        </w:rPr>
        <w:t xml:space="preserve"> / Definition of P</w:t>
      </w:r>
      <w:r w:rsidR="00E1178C" w:rsidRPr="00E1178C">
        <w:rPr>
          <w:vertAlign w:val="subscript"/>
          <w:lang w:val="en-GB"/>
        </w:rPr>
        <w:t>max</w:t>
      </w:r>
    </w:p>
    <w:p w14:paraId="25EF1725" w14:textId="6D844A9E" w:rsidR="00EE3CB0" w:rsidRDefault="00EE3CB0" w:rsidP="0096147D">
      <w:pPr>
        <w:spacing w:after="120"/>
        <w:ind w:right="851"/>
        <w:rPr>
          <w:lang w:val="en-US"/>
        </w:rPr>
      </w:pPr>
      <w:r>
        <w:rPr>
          <w:lang w:val="en-US"/>
        </w:rPr>
        <w:t xml:space="preserve">Mixed customer sites (MCS) can be classified as </w:t>
      </w:r>
      <w:r w:rsidR="00354E52" w:rsidRPr="00354E52">
        <w:rPr>
          <w:lang w:val="en-US"/>
        </w:rPr>
        <w:t xml:space="preserve">a combination of </w:t>
      </w:r>
      <w:r w:rsidR="00354E52">
        <w:rPr>
          <w:lang w:val="en-US"/>
        </w:rPr>
        <w:t>demand facilities</w:t>
      </w:r>
      <w:r w:rsidR="00354E52" w:rsidRPr="00354E52">
        <w:rPr>
          <w:lang w:val="en-US"/>
        </w:rPr>
        <w:t xml:space="preserve"> </w:t>
      </w:r>
      <w:r>
        <w:rPr>
          <w:lang w:val="en-US"/>
        </w:rPr>
        <w:t xml:space="preserve">(DF) </w:t>
      </w:r>
      <w:r w:rsidR="00354E52">
        <w:rPr>
          <w:lang w:val="en-US"/>
        </w:rPr>
        <w:t xml:space="preserve">and power generating modules </w:t>
      </w:r>
      <w:r>
        <w:rPr>
          <w:lang w:val="en-US"/>
        </w:rPr>
        <w:t xml:space="preserve">(PGM) </w:t>
      </w:r>
      <w:r w:rsidR="00354E52">
        <w:rPr>
          <w:lang w:val="en-US"/>
        </w:rPr>
        <w:t>that share a common</w:t>
      </w:r>
      <w:r w:rsidR="00354E52" w:rsidRPr="00354E52">
        <w:rPr>
          <w:lang w:val="en-US"/>
        </w:rPr>
        <w:t xml:space="preserve"> connection point</w:t>
      </w:r>
      <w:r>
        <w:rPr>
          <w:lang w:val="en-US"/>
        </w:rPr>
        <w:t>. Nowadays, the number of MC</w:t>
      </w:r>
      <w:r w:rsidR="002C64AA">
        <w:rPr>
          <w:lang w:val="en-US"/>
        </w:rPr>
        <w:t>S</w:t>
      </w:r>
      <w:r>
        <w:rPr>
          <w:lang w:val="en-US"/>
        </w:rPr>
        <w:t xml:space="preserve"> is constantly increasing due to the installation of renewable energy source (RES) based generation at the sites of already existing DF.  </w:t>
      </w:r>
    </w:p>
    <w:p w14:paraId="5C25378F" w14:textId="66B2A3D4" w:rsidR="00354E52" w:rsidRDefault="00EE3CB0" w:rsidP="0096147D">
      <w:pPr>
        <w:spacing w:after="120"/>
        <w:ind w:right="851"/>
        <w:rPr>
          <w:lang w:val="en-US"/>
        </w:rPr>
      </w:pPr>
      <w:r>
        <w:rPr>
          <w:lang w:val="en-US"/>
        </w:rPr>
        <w:t>D</w:t>
      </w:r>
      <w:r w:rsidR="00354E52" w:rsidRPr="00354E52">
        <w:rPr>
          <w:lang w:val="en-US"/>
        </w:rPr>
        <w:t>epending on the specific combination</w:t>
      </w:r>
      <w:r>
        <w:rPr>
          <w:lang w:val="en-US"/>
        </w:rPr>
        <w:t xml:space="preserve"> of a MCS</w:t>
      </w:r>
      <w:r w:rsidR="00354E52" w:rsidRPr="00354E52">
        <w:rPr>
          <w:lang w:val="en-US"/>
        </w:rPr>
        <w:t xml:space="preserve">, only power may be drawn and there may be </w:t>
      </w:r>
      <w:r>
        <w:rPr>
          <w:lang w:val="en-US"/>
        </w:rPr>
        <w:t xml:space="preserve">only partial </w:t>
      </w:r>
      <w:r w:rsidR="00354E52" w:rsidRPr="00354E52">
        <w:rPr>
          <w:lang w:val="en-US"/>
        </w:rPr>
        <w:t>or no feed-in</w:t>
      </w:r>
      <w:r>
        <w:rPr>
          <w:lang w:val="en-US"/>
        </w:rPr>
        <w:t xml:space="preserve"> (zero feed-in)</w:t>
      </w:r>
      <w:r w:rsidR="00354E52" w:rsidRPr="00354E52">
        <w:rPr>
          <w:lang w:val="en-US"/>
        </w:rPr>
        <w:t xml:space="preserve"> </w:t>
      </w:r>
      <w:r>
        <w:rPr>
          <w:lang w:val="en-US"/>
        </w:rPr>
        <w:t xml:space="preserve">from a PGM </w:t>
      </w:r>
      <w:r w:rsidR="00354E52" w:rsidRPr="00354E52">
        <w:rPr>
          <w:lang w:val="en-US"/>
        </w:rPr>
        <w:t>to the grid at the connection point</w:t>
      </w:r>
      <w:r>
        <w:rPr>
          <w:lang w:val="en-US"/>
        </w:rPr>
        <w:t>.</w:t>
      </w:r>
    </w:p>
    <w:p w14:paraId="1AD13EBF" w14:textId="467F5515" w:rsidR="00354E52" w:rsidRPr="00354E52" w:rsidRDefault="00354E52" w:rsidP="0096147D">
      <w:pPr>
        <w:spacing w:after="120"/>
        <w:ind w:right="851"/>
        <w:rPr>
          <w:lang w:val="en-US"/>
        </w:rPr>
      </w:pPr>
      <w:r w:rsidRPr="00354E52">
        <w:rPr>
          <w:lang w:val="en-US"/>
        </w:rPr>
        <w:t xml:space="preserve">From </w:t>
      </w:r>
      <w:proofErr w:type="spellStart"/>
      <w:r w:rsidR="00EE3CB0">
        <w:rPr>
          <w:lang w:val="en-US"/>
        </w:rPr>
        <w:t>Oesterreichs</w:t>
      </w:r>
      <w:proofErr w:type="spellEnd"/>
      <w:r w:rsidR="00EE3CB0">
        <w:rPr>
          <w:lang w:val="en-US"/>
        </w:rPr>
        <w:t xml:space="preserve"> </w:t>
      </w:r>
      <w:proofErr w:type="spellStart"/>
      <w:r w:rsidR="00EE3CB0">
        <w:rPr>
          <w:lang w:val="en-US"/>
        </w:rPr>
        <w:t>Energie</w:t>
      </w:r>
      <w:proofErr w:type="spellEnd"/>
      <w:r w:rsidR="00EE3CB0">
        <w:rPr>
          <w:lang w:val="en-US"/>
        </w:rPr>
        <w:t xml:space="preserve"> </w:t>
      </w:r>
      <w:r w:rsidRPr="00354E52">
        <w:rPr>
          <w:lang w:val="en-US"/>
        </w:rPr>
        <w:t xml:space="preserve">point of view, any </w:t>
      </w:r>
      <w:r w:rsidR="00EE3CB0">
        <w:rPr>
          <w:lang w:val="en-US"/>
        </w:rPr>
        <w:t xml:space="preserve">partial or </w:t>
      </w:r>
      <w:r w:rsidRPr="00354E52">
        <w:rPr>
          <w:lang w:val="en-US"/>
        </w:rPr>
        <w:t xml:space="preserve">zero feed-in at the connection point must not restrict the </w:t>
      </w:r>
      <w:proofErr w:type="gramStart"/>
      <w:r w:rsidRPr="00354E52">
        <w:rPr>
          <w:lang w:val="en-US"/>
        </w:rPr>
        <w:t>type</w:t>
      </w:r>
      <w:proofErr w:type="gramEnd"/>
      <w:r w:rsidRPr="00354E52">
        <w:rPr>
          <w:lang w:val="en-US"/>
        </w:rPr>
        <w:t xml:space="preserve"> classification </w:t>
      </w:r>
      <w:r w:rsidR="00EE3CB0">
        <w:rPr>
          <w:lang w:val="en-US"/>
        </w:rPr>
        <w:t xml:space="preserve">(A/B/C/D) of a PGM </w:t>
      </w:r>
      <w:r w:rsidRPr="00354E52">
        <w:rPr>
          <w:lang w:val="en-US"/>
        </w:rPr>
        <w:t xml:space="preserve">and the corresponding </w:t>
      </w:r>
      <w:r w:rsidR="00EE3CB0">
        <w:rPr>
          <w:lang w:val="en-US"/>
        </w:rPr>
        <w:t xml:space="preserve">national grid codes </w:t>
      </w:r>
      <w:r w:rsidRPr="00354E52">
        <w:rPr>
          <w:lang w:val="en-US"/>
        </w:rPr>
        <w:t xml:space="preserve">as long as </w:t>
      </w:r>
      <w:r w:rsidR="00EE3CB0">
        <w:rPr>
          <w:lang w:val="en-US"/>
        </w:rPr>
        <w:t>synchronous</w:t>
      </w:r>
      <w:r w:rsidRPr="00354E52">
        <w:rPr>
          <w:lang w:val="en-US"/>
        </w:rPr>
        <w:t xml:space="preserve"> operation with the </w:t>
      </w:r>
      <w:r w:rsidR="00EE3CB0">
        <w:rPr>
          <w:lang w:val="en-US"/>
        </w:rPr>
        <w:t xml:space="preserve">public </w:t>
      </w:r>
      <w:r w:rsidRPr="00354E52">
        <w:rPr>
          <w:lang w:val="en-US"/>
        </w:rPr>
        <w:t xml:space="preserve">grid </w:t>
      </w:r>
      <w:r w:rsidR="00EE3CB0">
        <w:rPr>
          <w:lang w:val="en-US"/>
        </w:rPr>
        <w:t>exists</w:t>
      </w:r>
      <w:r w:rsidRPr="00354E52">
        <w:rPr>
          <w:lang w:val="en-US"/>
        </w:rPr>
        <w:t>.</w:t>
      </w:r>
    </w:p>
    <w:p w14:paraId="7F5DADAF" w14:textId="13E92EDA" w:rsidR="00354E52" w:rsidRPr="0096147D" w:rsidRDefault="00354E52" w:rsidP="0096147D">
      <w:pPr>
        <w:spacing w:after="120"/>
        <w:ind w:right="851"/>
        <w:rPr>
          <w:b/>
          <w:lang w:val="en-US"/>
        </w:rPr>
      </w:pPr>
      <w:r w:rsidRPr="0096147D">
        <w:rPr>
          <w:b/>
          <w:lang w:val="en-US"/>
        </w:rPr>
        <w:t xml:space="preserve">In the case of </w:t>
      </w:r>
      <w:r w:rsidR="0096147D" w:rsidRPr="0096147D">
        <w:rPr>
          <w:b/>
          <w:lang w:val="en-US"/>
        </w:rPr>
        <w:t>MCS,</w:t>
      </w:r>
      <w:r w:rsidRPr="0096147D">
        <w:rPr>
          <w:b/>
          <w:lang w:val="en-US"/>
        </w:rPr>
        <w:t xml:space="preserve"> the </w:t>
      </w:r>
      <w:r w:rsidR="0096147D" w:rsidRPr="0096147D">
        <w:rPr>
          <w:b/>
          <w:lang w:val="en-US"/>
        </w:rPr>
        <w:t xml:space="preserve">maximum continuous active power which a PGM can produce, less any demand or losses associated solely with facilitating the operation of that power-generating module, </w:t>
      </w:r>
      <w:r w:rsidRPr="0096147D">
        <w:rPr>
          <w:b/>
          <w:lang w:val="en-US"/>
        </w:rPr>
        <w:t xml:space="preserve">should be used for the </w:t>
      </w:r>
      <w:proofErr w:type="gramStart"/>
      <w:r w:rsidRPr="0096147D">
        <w:rPr>
          <w:b/>
          <w:lang w:val="en-US"/>
        </w:rPr>
        <w:t>type</w:t>
      </w:r>
      <w:proofErr w:type="gramEnd"/>
      <w:r w:rsidRPr="0096147D">
        <w:rPr>
          <w:b/>
          <w:lang w:val="en-US"/>
        </w:rPr>
        <w:t xml:space="preserve"> classification in accordance with the</w:t>
      </w:r>
      <w:r w:rsidR="0096147D" w:rsidRPr="0096147D">
        <w:rPr>
          <w:b/>
          <w:lang w:val="en-US"/>
        </w:rPr>
        <w:t xml:space="preserve"> national</w:t>
      </w:r>
      <w:r w:rsidRPr="0096147D">
        <w:rPr>
          <w:b/>
          <w:lang w:val="en-US"/>
        </w:rPr>
        <w:t xml:space="preserve"> </w:t>
      </w:r>
      <w:r w:rsidR="0096147D" w:rsidRPr="0096147D">
        <w:rPr>
          <w:b/>
          <w:lang w:val="en-US"/>
        </w:rPr>
        <w:t>t</w:t>
      </w:r>
      <w:r w:rsidRPr="0096147D">
        <w:rPr>
          <w:b/>
          <w:lang w:val="en-US"/>
        </w:rPr>
        <w:t>hreshold</w:t>
      </w:r>
      <w:r w:rsidR="0096147D" w:rsidRPr="0096147D">
        <w:rPr>
          <w:b/>
          <w:lang w:val="en-US"/>
        </w:rPr>
        <w:t>s.</w:t>
      </w:r>
    </w:p>
    <w:p w14:paraId="348CFCF5" w14:textId="7C224DFA" w:rsidR="0096147D" w:rsidRDefault="0096147D" w:rsidP="0096147D">
      <w:pPr>
        <w:spacing w:after="120"/>
        <w:ind w:right="851"/>
        <w:rPr>
          <w:lang w:val="en-US"/>
        </w:rPr>
      </w:pPr>
      <w:r>
        <w:rPr>
          <w:lang w:val="en-US"/>
        </w:rPr>
        <w:t xml:space="preserve">Taking this into account, </w:t>
      </w:r>
      <w:proofErr w:type="spellStart"/>
      <w:r>
        <w:rPr>
          <w:lang w:val="en-US"/>
        </w:rPr>
        <w:t>Oesterreichs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Energie</w:t>
      </w:r>
      <w:proofErr w:type="spellEnd"/>
      <w:r>
        <w:rPr>
          <w:lang w:val="en-US"/>
        </w:rPr>
        <w:t xml:space="preserve"> suggests the following text modifications in the existing text of NC </w:t>
      </w:r>
      <w:proofErr w:type="spellStart"/>
      <w:r>
        <w:rPr>
          <w:lang w:val="en-US"/>
        </w:rPr>
        <w:t>RfG</w:t>
      </w:r>
      <w:proofErr w:type="spellEnd"/>
      <w:r>
        <w:rPr>
          <w:lang w:val="en-US"/>
        </w:rPr>
        <w:t>:</w:t>
      </w:r>
    </w:p>
    <w:p w14:paraId="0305D491" w14:textId="77777777" w:rsidR="0096147D" w:rsidRPr="0096147D" w:rsidRDefault="0096147D" w:rsidP="009614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851"/>
        <w:rPr>
          <w:i/>
          <w:lang w:val="en-US"/>
        </w:rPr>
      </w:pPr>
      <w:r w:rsidRPr="0096147D">
        <w:rPr>
          <w:i/>
          <w:lang w:val="en-US"/>
        </w:rPr>
        <w:t>Article 2</w:t>
      </w:r>
    </w:p>
    <w:p w14:paraId="11B88137" w14:textId="77777777" w:rsidR="0096147D" w:rsidRPr="0096147D" w:rsidRDefault="0096147D" w:rsidP="009614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851"/>
        <w:rPr>
          <w:i/>
          <w:lang w:val="en-US"/>
        </w:rPr>
      </w:pPr>
      <w:r w:rsidRPr="0096147D">
        <w:rPr>
          <w:i/>
          <w:lang w:val="en-US"/>
        </w:rPr>
        <w:t>Definitions</w:t>
      </w:r>
    </w:p>
    <w:p w14:paraId="6E41D9D8" w14:textId="77777777" w:rsidR="0096147D" w:rsidRPr="0096147D" w:rsidRDefault="0096147D" w:rsidP="009614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851"/>
        <w:rPr>
          <w:i/>
          <w:lang w:val="en-US"/>
        </w:rPr>
      </w:pPr>
      <w:r w:rsidRPr="0096147D">
        <w:rPr>
          <w:i/>
          <w:lang w:val="en-US"/>
        </w:rPr>
        <w:t>[…]</w:t>
      </w:r>
    </w:p>
    <w:p w14:paraId="079695D8" w14:textId="6F4F3385" w:rsidR="0096147D" w:rsidRPr="0096147D" w:rsidRDefault="0096147D" w:rsidP="009614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right="851"/>
        <w:rPr>
          <w:i/>
          <w:lang w:val="en-US"/>
        </w:rPr>
      </w:pPr>
      <w:r w:rsidRPr="0096147D">
        <w:rPr>
          <w:i/>
          <w:lang w:val="en-US"/>
        </w:rPr>
        <w:t xml:space="preserve">(16) ‘maximum capacity’ or ‘Pmax’ means the maximum continuous active power which a power-generating module can produce, less any demand </w:t>
      </w:r>
      <w:r w:rsidRPr="00E1178C">
        <w:rPr>
          <w:i/>
          <w:highlight w:val="lightGray"/>
          <w:lang w:val="en-US"/>
        </w:rPr>
        <w:t>or losses</w:t>
      </w:r>
      <w:r w:rsidRPr="0096147D">
        <w:rPr>
          <w:i/>
          <w:lang w:val="en-US"/>
        </w:rPr>
        <w:t xml:space="preserve"> associated solely with facilitating the operation of that power-generating module </w:t>
      </w:r>
      <w:r w:rsidRPr="00E1178C">
        <w:rPr>
          <w:i/>
          <w:strike/>
          <w:highlight w:val="lightGray"/>
          <w:lang w:val="en-US"/>
        </w:rPr>
        <w:t>and not fed into the network</w:t>
      </w:r>
      <w:r w:rsidRPr="0096147D">
        <w:rPr>
          <w:i/>
          <w:lang w:val="en-US"/>
        </w:rPr>
        <w:t xml:space="preserve"> as specified in the connection agreement or as agreed between the relevant system operator and the power-generating facility owner;”</w:t>
      </w:r>
    </w:p>
    <w:p w14:paraId="32860AB2" w14:textId="77777777" w:rsidR="0096147D" w:rsidRPr="00E1178C" w:rsidRDefault="0096147D" w:rsidP="0096147D">
      <w:pPr>
        <w:ind w:right="851"/>
        <w:rPr>
          <w:sz w:val="12"/>
          <w:szCs w:val="12"/>
          <w:u w:val="single"/>
          <w:lang w:val="en-US"/>
        </w:rPr>
      </w:pPr>
    </w:p>
    <w:p w14:paraId="051825A3" w14:textId="46A0A8F8" w:rsidR="00354E52" w:rsidRPr="0096147D" w:rsidRDefault="00354E52" w:rsidP="0096147D">
      <w:pPr>
        <w:ind w:right="851"/>
        <w:rPr>
          <w:u w:val="single"/>
          <w:lang w:val="en-US"/>
        </w:rPr>
      </w:pPr>
      <w:r w:rsidRPr="0096147D">
        <w:rPr>
          <w:u w:val="single"/>
          <w:lang w:val="en-US"/>
        </w:rPr>
        <w:t>Risks in case of deviating consideration</w:t>
      </w:r>
      <w:r w:rsidR="00D85D53">
        <w:rPr>
          <w:u w:val="single"/>
          <w:lang w:val="en-US"/>
        </w:rPr>
        <w:t>:</w:t>
      </w:r>
    </w:p>
    <w:p w14:paraId="0A688422" w14:textId="18D734DA" w:rsidR="00354E52" w:rsidRPr="00354E52" w:rsidRDefault="00354E52" w:rsidP="0096147D">
      <w:pPr>
        <w:spacing w:after="120"/>
        <w:ind w:right="851"/>
        <w:rPr>
          <w:lang w:val="en-US"/>
        </w:rPr>
      </w:pPr>
      <w:r w:rsidRPr="00354E52">
        <w:rPr>
          <w:lang w:val="en-US"/>
        </w:rPr>
        <w:t xml:space="preserve">If only the actual feed-in at the grid connection point or virtual surplus feed-in is </w:t>
      </w:r>
      <w:proofErr w:type="gramStart"/>
      <w:r w:rsidRPr="00354E52">
        <w:rPr>
          <w:lang w:val="en-US"/>
        </w:rPr>
        <w:t>taken into account</w:t>
      </w:r>
      <w:proofErr w:type="gramEnd"/>
      <w:r w:rsidRPr="00354E52">
        <w:rPr>
          <w:lang w:val="en-US"/>
        </w:rPr>
        <w:t xml:space="preserve">, most of the new </w:t>
      </w:r>
      <w:r w:rsidR="0096147D">
        <w:rPr>
          <w:lang w:val="en-US"/>
        </w:rPr>
        <w:t>PGM</w:t>
      </w:r>
      <w:r w:rsidRPr="00354E52">
        <w:rPr>
          <w:lang w:val="en-US"/>
        </w:rPr>
        <w:t xml:space="preserve"> in </w:t>
      </w:r>
      <w:r w:rsidR="0096147D">
        <w:rPr>
          <w:lang w:val="en-US"/>
        </w:rPr>
        <w:t>MCS</w:t>
      </w:r>
      <w:r w:rsidRPr="00354E52">
        <w:rPr>
          <w:lang w:val="en-US"/>
        </w:rPr>
        <w:t xml:space="preserve"> </w:t>
      </w:r>
      <w:r w:rsidR="0096147D">
        <w:rPr>
          <w:lang w:val="en-US"/>
        </w:rPr>
        <w:t xml:space="preserve">with partial or </w:t>
      </w:r>
      <w:r w:rsidR="0096147D" w:rsidRPr="00354E52">
        <w:rPr>
          <w:lang w:val="en-US"/>
        </w:rPr>
        <w:t xml:space="preserve">zero feed-in </w:t>
      </w:r>
      <w:r w:rsidRPr="00354E52">
        <w:rPr>
          <w:lang w:val="en-US"/>
        </w:rPr>
        <w:t xml:space="preserve">would </w:t>
      </w:r>
      <w:r w:rsidR="0096147D">
        <w:rPr>
          <w:lang w:val="en-US"/>
        </w:rPr>
        <w:t xml:space="preserve">not be able to be assigned to an appropriate </w:t>
      </w:r>
      <w:r w:rsidRPr="00354E52">
        <w:rPr>
          <w:lang w:val="en-US"/>
        </w:rPr>
        <w:t xml:space="preserve">type according to NC </w:t>
      </w:r>
      <w:proofErr w:type="spellStart"/>
      <w:r w:rsidRPr="00354E52">
        <w:rPr>
          <w:lang w:val="en-US"/>
        </w:rPr>
        <w:t>RfG</w:t>
      </w:r>
      <w:proofErr w:type="spellEnd"/>
      <w:r w:rsidR="0096147D">
        <w:rPr>
          <w:lang w:val="en-US"/>
        </w:rPr>
        <w:t>.</w:t>
      </w:r>
      <w:r w:rsidRPr="00354E52">
        <w:rPr>
          <w:lang w:val="en-US"/>
        </w:rPr>
        <w:t xml:space="preserve"> </w:t>
      </w:r>
      <w:r w:rsidR="0096147D">
        <w:rPr>
          <w:lang w:val="en-US"/>
        </w:rPr>
        <w:t xml:space="preserve">In this case </w:t>
      </w:r>
      <w:r w:rsidRPr="00354E52">
        <w:rPr>
          <w:lang w:val="en-US"/>
        </w:rPr>
        <w:t xml:space="preserve">the following risks </w:t>
      </w:r>
      <w:r w:rsidR="0096147D">
        <w:rPr>
          <w:lang w:val="en-US"/>
        </w:rPr>
        <w:t>will arise:</w:t>
      </w:r>
    </w:p>
    <w:p w14:paraId="4A3F5F89" w14:textId="430006BE" w:rsidR="0096147D" w:rsidRPr="00E1178C" w:rsidRDefault="0096147D" w:rsidP="00E1178C">
      <w:pPr>
        <w:pStyle w:val="Listenabsatz"/>
        <w:numPr>
          <w:ilvl w:val="0"/>
          <w:numId w:val="7"/>
        </w:numPr>
        <w:spacing w:after="120"/>
        <w:ind w:left="714" w:right="851" w:hanging="357"/>
        <w:contextualSpacing w:val="0"/>
        <w:rPr>
          <w:lang w:val="en-US"/>
        </w:rPr>
      </w:pPr>
      <w:r w:rsidRPr="00E1178C">
        <w:rPr>
          <w:lang w:val="en-US"/>
        </w:rPr>
        <w:t>O</w:t>
      </w:r>
      <w:r w:rsidR="00354E52" w:rsidRPr="00E1178C">
        <w:rPr>
          <w:lang w:val="en-US"/>
        </w:rPr>
        <w:t xml:space="preserve">perational risks </w:t>
      </w:r>
      <w:proofErr w:type="gramStart"/>
      <w:r w:rsidR="00354E52" w:rsidRPr="00E1178C">
        <w:rPr>
          <w:lang w:val="en-US"/>
        </w:rPr>
        <w:t>with regard to</w:t>
      </w:r>
      <w:proofErr w:type="gramEnd"/>
      <w:r w:rsidR="00354E52" w:rsidRPr="00E1178C">
        <w:rPr>
          <w:lang w:val="en-US"/>
        </w:rPr>
        <w:t xml:space="preserve"> congestion/load flow consideration and power balance due to insufficient plannability (forecast), observability (operational information exchange) and</w:t>
      </w:r>
      <w:r w:rsidRPr="00E1178C">
        <w:rPr>
          <w:lang w:val="en-US"/>
        </w:rPr>
        <w:t xml:space="preserve"> missing capabilities</w:t>
      </w:r>
      <w:r w:rsidR="00354E52" w:rsidRPr="00E1178C">
        <w:rPr>
          <w:lang w:val="en-US"/>
        </w:rPr>
        <w:t xml:space="preserve"> to </w:t>
      </w:r>
      <w:r w:rsidRPr="00E1178C">
        <w:rPr>
          <w:lang w:val="en-US"/>
        </w:rPr>
        <w:t>change the active power</w:t>
      </w:r>
      <w:r w:rsidR="00354E52" w:rsidRPr="00E1178C">
        <w:rPr>
          <w:lang w:val="en-US"/>
        </w:rPr>
        <w:t>.</w:t>
      </w:r>
    </w:p>
    <w:p w14:paraId="47F8A75B" w14:textId="03EA630F" w:rsidR="00354E52" w:rsidRPr="00E1178C" w:rsidRDefault="00354E52" w:rsidP="00E1178C">
      <w:pPr>
        <w:pStyle w:val="Listenabsatz"/>
        <w:numPr>
          <w:ilvl w:val="0"/>
          <w:numId w:val="7"/>
        </w:numPr>
        <w:ind w:right="851"/>
        <w:rPr>
          <w:lang w:val="en-US"/>
        </w:rPr>
      </w:pPr>
      <w:r w:rsidRPr="00E1178C">
        <w:rPr>
          <w:lang w:val="en-US"/>
        </w:rPr>
        <w:t xml:space="preserve">Increased risk of high generation loss in the event of grid disturbances in the grid due to lack of FRT capability with possibly serious effects on load flow, </w:t>
      </w:r>
      <w:proofErr w:type="gramStart"/>
      <w:r w:rsidRPr="00E1178C">
        <w:rPr>
          <w:lang w:val="en-US"/>
        </w:rPr>
        <w:t>voltage</w:t>
      </w:r>
      <w:proofErr w:type="gramEnd"/>
      <w:r w:rsidRPr="00E1178C">
        <w:rPr>
          <w:lang w:val="en-US"/>
        </w:rPr>
        <w:t xml:space="preserve"> and control area balance.</w:t>
      </w:r>
    </w:p>
    <w:p w14:paraId="04151665" w14:textId="7E237455" w:rsidR="00354E52" w:rsidRPr="00354E52" w:rsidRDefault="00354E52" w:rsidP="00354E52">
      <w:pPr>
        <w:ind w:right="851"/>
        <w:rPr>
          <w:lang w:val="en-US"/>
        </w:rPr>
      </w:pPr>
    </w:p>
    <w:p w14:paraId="720C282D" w14:textId="759B2ABE" w:rsidR="00E1178C" w:rsidRDefault="00E1178C">
      <w:pPr>
        <w:rPr>
          <w:lang w:val="en-US"/>
        </w:rPr>
      </w:pPr>
      <w:r>
        <w:rPr>
          <w:lang w:val="en-US"/>
        </w:rPr>
        <w:br w:type="page"/>
      </w:r>
    </w:p>
    <w:p w14:paraId="6FF1AA01" w14:textId="5E80843B" w:rsidR="00E02DFB" w:rsidRDefault="00E02DFB" w:rsidP="00E1178C">
      <w:pPr>
        <w:pStyle w:val="berschrift2"/>
        <w:rPr>
          <w:lang w:val="en-GB"/>
        </w:rPr>
      </w:pPr>
      <w:r>
        <w:rPr>
          <w:lang w:val="en-GB"/>
        </w:rPr>
        <w:lastRenderedPageBreak/>
        <w:t>Article 3</w:t>
      </w:r>
    </w:p>
    <w:p w14:paraId="02896E06" w14:textId="6B3BF6D6" w:rsidR="00A710E2" w:rsidRDefault="00A710E2" w:rsidP="00A710E2">
      <w:pPr>
        <w:rPr>
          <w:lang w:val="en-GB"/>
        </w:rPr>
      </w:pPr>
      <w:r w:rsidRPr="00A710E2">
        <w:rPr>
          <w:lang w:val="en-GB"/>
        </w:rPr>
        <w:t>Add (</w:t>
      </w:r>
      <w:r w:rsidR="00FF4581">
        <w:rPr>
          <w:lang w:val="en-GB"/>
        </w:rPr>
        <w:t>e</w:t>
      </w:r>
      <w:r w:rsidRPr="00A710E2">
        <w:rPr>
          <w:lang w:val="en-GB"/>
        </w:rPr>
        <w:t>) power-generating modules and RES for other frequencies than 50 Hz and DC-current (e. g. 16.7 Hz power supply systems in Austria and Germany)</w:t>
      </w:r>
    </w:p>
    <w:p w14:paraId="1F5E4ABF" w14:textId="77777777" w:rsidR="00A710E2" w:rsidRPr="00A710E2" w:rsidRDefault="00A710E2" w:rsidP="00A710E2">
      <w:pPr>
        <w:rPr>
          <w:lang w:val="en-GB"/>
        </w:rPr>
      </w:pPr>
    </w:p>
    <w:p w14:paraId="661C7C40" w14:textId="77777777" w:rsidR="00A710E2" w:rsidRPr="00A710E2" w:rsidRDefault="00A710E2" w:rsidP="00A710E2">
      <w:pPr>
        <w:rPr>
          <w:b/>
          <w:bCs/>
          <w:lang w:val="en-GB"/>
        </w:rPr>
      </w:pPr>
      <w:r w:rsidRPr="00A710E2">
        <w:rPr>
          <w:b/>
          <w:bCs/>
          <w:lang w:val="en-GB"/>
        </w:rPr>
        <w:t>Reasoning</w:t>
      </w:r>
    </w:p>
    <w:p w14:paraId="035DA38E" w14:textId="028A0321" w:rsidR="00A710E2" w:rsidRPr="00A710E2" w:rsidRDefault="00A710E2" w:rsidP="00A710E2">
      <w:pPr>
        <w:rPr>
          <w:lang w:val="en-GB"/>
        </w:rPr>
      </w:pPr>
      <w:r w:rsidRPr="00A710E2">
        <w:rPr>
          <w:lang w:val="en-GB"/>
        </w:rPr>
        <w:t xml:space="preserve">16.7 Hz power supply system does not operate synchronously with the synchronous area  </w:t>
      </w:r>
    </w:p>
    <w:p w14:paraId="0982B649" w14:textId="4273CFA4" w:rsidR="00E1178C" w:rsidRDefault="00E1178C" w:rsidP="00E1178C">
      <w:pPr>
        <w:pStyle w:val="berschrift2"/>
        <w:rPr>
          <w:lang w:val="en-GB"/>
        </w:rPr>
      </w:pPr>
      <w:r>
        <w:rPr>
          <w:lang w:val="en-GB"/>
        </w:rPr>
        <w:t>Mixed Customer Sites / Removal of voltage criteria</w:t>
      </w:r>
    </w:p>
    <w:p w14:paraId="312FD2D8" w14:textId="73E5693D" w:rsidR="00E1178C" w:rsidRDefault="00E1178C" w:rsidP="00E1178C">
      <w:pPr>
        <w:rPr>
          <w:lang w:val="en-US"/>
        </w:rPr>
      </w:pPr>
      <w:bookmarkStart w:id="0" w:name="_Hlk495258658"/>
      <w:bookmarkStart w:id="1" w:name="_Hlk495258176"/>
      <w:r>
        <w:rPr>
          <w:lang w:val="en-US"/>
        </w:rPr>
        <w:t>New</w:t>
      </w:r>
      <w:r w:rsidRPr="00E1178C">
        <w:rPr>
          <w:lang w:val="en-US"/>
        </w:rPr>
        <w:t xml:space="preserve"> </w:t>
      </w:r>
      <w:r>
        <w:rPr>
          <w:lang w:val="en-US"/>
        </w:rPr>
        <w:t>PGM</w:t>
      </w:r>
      <w:r w:rsidRPr="00E1178C">
        <w:rPr>
          <w:lang w:val="en-US"/>
        </w:rPr>
        <w:t xml:space="preserve"> </w:t>
      </w:r>
      <w:r>
        <w:rPr>
          <w:lang w:val="en-US"/>
        </w:rPr>
        <w:t>installations within MCS with a</w:t>
      </w:r>
      <w:r w:rsidRPr="00E1178C">
        <w:rPr>
          <w:lang w:val="en-US"/>
        </w:rPr>
        <w:t xml:space="preserve"> connection point ≥ 110 kV are to be considered as type D due to the voltage criterion according to </w:t>
      </w:r>
      <w:r>
        <w:rPr>
          <w:lang w:val="en-US"/>
        </w:rPr>
        <w:t>Art</w:t>
      </w:r>
      <w:r w:rsidR="00B51F0A">
        <w:rPr>
          <w:lang w:val="en-US"/>
        </w:rPr>
        <w:t>icle</w:t>
      </w:r>
      <w:r>
        <w:rPr>
          <w:lang w:val="en-US"/>
        </w:rPr>
        <w:t xml:space="preserve"> 5(</w:t>
      </w:r>
      <w:r w:rsidRPr="00E1178C">
        <w:rPr>
          <w:lang w:val="en-US"/>
        </w:rPr>
        <w:t>2</w:t>
      </w:r>
      <w:r>
        <w:rPr>
          <w:lang w:val="en-US"/>
        </w:rPr>
        <w:t>)</w:t>
      </w:r>
      <w:r w:rsidRPr="00E1178C">
        <w:rPr>
          <w:lang w:val="en-US"/>
        </w:rPr>
        <w:t xml:space="preserve"> d) NC </w:t>
      </w:r>
      <w:proofErr w:type="spellStart"/>
      <w:r w:rsidRPr="00E1178C">
        <w:rPr>
          <w:lang w:val="en-US"/>
        </w:rPr>
        <w:t>RfG</w:t>
      </w:r>
      <w:proofErr w:type="spellEnd"/>
      <w:r w:rsidRPr="00E1178C">
        <w:rPr>
          <w:lang w:val="en-US"/>
        </w:rPr>
        <w:t xml:space="preserve">. On the other hand, the exclusive consideration of the </w:t>
      </w:r>
      <w:r>
        <w:rPr>
          <w:lang w:val="en-US"/>
        </w:rPr>
        <w:t>active power</w:t>
      </w:r>
      <w:r w:rsidRPr="00E1178C">
        <w:rPr>
          <w:lang w:val="en-US"/>
        </w:rPr>
        <w:t xml:space="preserve"> criteria would result in a </w:t>
      </w:r>
      <w:r>
        <w:rPr>
          <w:lang w:val="en-US"/>
        </w:rPr>
        <w:t>classification</w:t>
      </w:r>
      <w:r w:rsidRPr="00E1178C">
        <w:rPr>
          <w:lang w:val="en-US"/>
        </w:rPr>
        <w:t xml:space="preserve"> as </w:t>
      </w:r>
      <w:r>
        <w:rPr>
          <w:lang w:val="en-US"/>
        </w:rPr>
        <w:t>t</w:t>
      </w:r>
      <w:r w:rsidRPr="00E1178C">
        <w:rPr>
          <w:lang w:val="en-US"/>
        </w:rPr>
        <w:t xml:space="preserve">ype A or </w:t>
      </w:r>
      <w:r>
        <w:rPr>
          <w:lang w:val="en-US"/>
        </w:rPr>
        <w:t>t</w:t>
      </w:r>
      <w:r w:rsidRPr="00E1178C">
        <w:rPr>
          <w:lang w:val="en-US"/>
        </w:rPr>
        <w:t xml:space="preserve">ype B for many small </w:t>
      </w:r>
      <w:r>
        <w:rPr>
          <w:lang w:val="en-US"/>
        </w:rPr>
        <w:t>PGM</w:t>
      </w:r>
      <w:r w:rsidRPr="00E1178C">
        <w:rPr>
          <w:lang w:val="en-US"/>
        </w:rPr>
        <w:t>.</w:t>
      </w:r>
    </w:p>
    <w:p w14:paraId="12B86949" w14:textId="14FDB2EF" w:rsidR="00E1178C" w:rsidRPr="00E1178C" w:rsidRDefault="00E1178C" w:rsidP="00E1178C">
      <w:pPr>
        <w:spacing w:before="120"/>
        <w:rPr>
          <w:lang w:val="en-US"/>
        </w:rPr>
      </w:pPr>
      <w:r w:rsidRPr="00E1178C">
        <w:rPr>
          <w:lang w:val="en-US"/>
        </w:rPr>
        <w:t xml:space="preserve">The costs associated with equipping the </w:t>
      </w:r>
      <w:r>
        <w:rPr>
          <w:lang w:val="en-US"/>
        </w:rPr>
        <w:t>PGM</w:t>
      </w:r>
      <w:r w:rsidRPr="00E1178C">
        <w:rPr>
          <w:lang w:val="en-US"/>
        </w:rPr>
        <w:t xml:space="preserve"> with the necessary equipment to meet the requirements of </w:t>
      </w:r>
      <w:r>
        <w:rPr>
          <w:lang w:val="en-US"/>
        </w:rPr>
        <w:t>type</w:t>
      </w:r>
      <w:r w:rsidRPr="00E1178C">
        <w:rPr>
          <w:lang w:val="en-US"/>
        </w:rPr>
        <w:t xml:space="preserve"> D facility would significantly degrade the economic viability of the projects and </w:t>
      </w:r>
      <w:r>
        <w:rPr>
          <w:lang w:val="en-US"/>
        </w:rPr>
        <w:t>question</w:t>
      </w:r>
      <w:r w:rsidRPr="00E1178C">
        <w:rPr>
          <w:lang w:val="en-US"/>
        </w:rPr>
        <w:t xml:space="preserve"> their implementation</w:t>
      </w:r>
      <w:r>
        <w:rPr>
          <w:lang w:val="en-US"/>
        </w:rPr>
        <w:t>.</w:t>
      </w:r>
    </w:p>
    <w:p w14:paraId="24FA086C" w14:textId="46DF0614" w:rsidR="00E1178C" w:rsidRPr="00E1178C" w:rsidRDefault="00E1178C" w:rsidP="00D85D53">
      <w:pPr>
        <w:spacing w:before="120" w:after="120"/>
        <w:rPr>
          <w:lang w:val="en-US"/>
        </w:rPr>
      </w:pPr>
      <w:r w:rsidRPr="00E1178C">
        <w:rPr>
          <w:lang w:val="en-US"/>
        </w:rPr>
        <w:t xml:space="preserve">The principles of the NC </w:t>
      </w:r>
      <w:proofErr w:type="spellStart"/>
      <w:r w:rsidRPr="00E1178C">
        <w:rPr>
          <w:lang w:val="en-US"/>
        </w:rPr>
        <w:t>RfG</w:t>
      </w:r>
      <w:proofErr w:type="spellEnd"/>
      <w:r w:rsidRPr="00E1178C">
        <w:rPr>
          <w:lang w:val="en-US"/>
        </w:rPr>
        <w:t xml:space="preserve"> provide for proportionality and optimization of overall efficiency and overall costs to be </w:t>
      </w:r>
      <w:proofErr w:type="gramStart"/>
      <w:r w:rsidRPr="00E1178C">
        <w:rPr>
          <w:lang w:val="en-US"/>
        </w:rPr>
        <w:t>taken into account</w:t>
      </w:r>
      <w:proofErr w:type="gramEnd"/>
      <w:r w:rsidRPr="00E1178C">
        <w:rPr>
          <w:lang w:val="en-US"/>
        </w:rPr>
        <w:t>. Furthermore, the non-realization of power generation plants in mixed systems (usually PV systems on the roofs of industrial buildings) is not in the sense of the European objectives for the cost-effective and efficient supply of electrical energy, especially from renewable resources.</w:t>
      </w:r>
    </w:p>
    <w:p w14:paraId="320D7008" w14:textId="1E64FE97" w:rsidR="00E1178C" w:rsidRPr="00D85D53" w:rsidRDefault="00E1178C" w:rsidP="00D85D53">
      <w:pPr>
        <w:spacing w:after="120"/>
        <w:rPr>
          <w:b/>
          <w:lang w:val="en-US"/>
        </w:rPr>
      </w:pPr>
      <w:r w:rsidRPr="00D85D53">
        <w:rPr>
          <w:b/>
          <w:lang w:val="en-US"/>
        </w:rPr>
        <w:t xml:space="preserve">Therefore, an exemption from the voltage criterion according to </w:t>
      </w:r>
      <w:r w:rsidR="00B51F0A" w:rsidRPr="00B51F0A">
        <w:rPr>
          <w:b/>
          <w:lang w:val="en-US"/>
        </w:rPr>
        <w:t xml:space="preserve">Article </w:t>
      </w:r>
      <w:r w:rsidRPr="00D85D53">
        <w:rPr>
          <w:b/>
          <w:lang w:val="en-US"/>
        </w:rPr>
        <w:t xml:space="preserve">5(2) d) NC </w:t>
      </w:r>
      <w:proofErr w:type="spellStart"/>
      <w:r w:rsidRPr="00D85D53">
        <w:rPr>
          <w:b/>
          <w:lang w:val="en-US"/>
        </w:rPr>
        <w:t>RfG</w:t>
      </w:r>
      <w:proofErr w:type="spellEnd"/>
      <w:r w:rsidRPr="00D85D53">
        <w:rPr>
          <w:b/>
          <w:lang w:val="en-US"/>
        </w:rPr>
        <w:t xml:space="preserve"> for PGM with P</w:t>
      </w:r>
      <w:r w:rsidRPr="00D85D53">
        <w:rPr>
          <w:b/>
          <w:vertAlign w:val="subscript"/>
          <w:lang w:val="en-US"/>
        </w:rPr>
        <w:t>max </w:t>
      </w:r>
      <w:r w:rsidRPr="00D85D53">
        <w:rPr>
          <w:b/>
          <w:lang w:val="en-US"/>
        </w:rPr>
        <w:t xml:space="preserve">&lt; 5 MW or a potentially smaller national B/C threshold should be included in a future version of NC </w:t>
      </w:r>
      <w:proofErr w:type="spellStart"/>
      <w:r w:rsidRPr="00D85D53">
        <w:rPr>
          <w:b/>
          <w:lang w:val="en-US"/>
        </w:rPr>
        <w:t>RfG</w:t>
      </w:r>
      <w:proofErr w:type="spellEnd"/>
      <w:r w:rsidRPr="00D85D53">
        <w:rPr>
          <w:b/>
          <w:lang w:val="en-US"/>
        </w:rPr>
        <w:t>.</w:t>
      </w:r>
    </w:p>
    <w:p w14:paraId="169F4CE6" w14:textId="77777777" w:rsidR="00D85D53" w:rsidRPr="0096147D" w:rsidRDefault="00D85D53" w:rsidP="00D85D53">
      <w:pPr>
        <w:ind w:right="851"/>
        <w:rPr>
          <w:u w:val="single"/>
          <w:lang w:val="en-US"/>
        </w:rPr>
      </w:pPr>
      <w:r w:rsidRPr="0096147D">
        <w:rPr>
          <w:u w:val="single"/>
          <w:lang w:val="en-US"/>
        </w:rPr>
        <w:t>Risks in case of deviating consideration</w:t>
      </w:r>
      <w:r>
        <w:rPr>
          <w:u w:val="single"/>
          <w:lang w:val="en-US"/>
        </w:rPr>
        <w:t>:</w:t>
      </w:r>
    </w:p>
    <w:p w14:paraId="0E6AA442" w14:textId="5121F9CF" w:rsidR="00E1178C" w:rsidRPr="00E1178C" w:rsidRDefault="00E1178C">
      <w:pPr>
        <w:rPr>
          <w:lang w:val="en-US"/>
        </w:rPr>
      </w:pPr>
      <w:r w:rsidRPr="00E1178C">
        <w:rPr>
          <w:lang w:val="en-US"/>
        </w:rPr>
        <w:t xml:space="preserve">Meeting the </w:t>
      </w:r>
      <w:r w:rsidR="00D85D53">
        <w:rPr>
          <w:lang w:val="en-US"/>
        </w:rPr>
        <w:t>t</w:t>
      </w:r>
      <w:r w:rsidRPr="00E1178C">
        <w:rPr>
          <w:lang w:val="en-US"/>
        </w:rPr>
        <w:t xml:space="preserve">ype D requirements is expected to cause disproportionate significant additional costs at any time during the lifetime of the affected </w:t>
      </w:r>
      <w:r w:rsidR="00D85D53">
        <w:rPr>
          <w:lang w:val="en-US"/>
        </w:rPr>
        <w:t>PGM</w:t>
      </w:r>
      <w:r w:rsidRPr="00E1178C">
        <w:rPr>
          <w:lang w:val="en-US"/>
        </w:rPr>
        <w:t xml:space="preserve">. The additional costs would </w:t>
      </w:r>
      <w:r w:rsidR="00D85D53">
        <w:rPr>
          <w:lang w:val="en-US"/>
        </w:rPr>
        <w:t>significantly</w:t>
      </w:r>
      <w:r w:rsidRPr="00E1178C">
        <w:rPr>
          <w:lang w:val="en-US"/>
        </w:rPr>
        <w:t xml:space="preserve"> jeopardize the profitability of the </w:t>
      </w:r>
      <w:r w:rsidR="00D85D53">
        <w:rPr>
          <w:lang w:val="en-US"/>
        </w:rPr>
        <w:t xml:space="preserve">affected </w:t>
      </w:r>
      <w:r w:rsidRPr="00E1178C">
        <w:rPr>
          <w:lang w:val="en-US"/>
        </w:rPr>
        <w:t>projects and thus the feed-in of CO</w:t>
      </w:r>
      <w:r w:rsidRPr="00D85D53">
        <w:rPr>
          <w:vertAlign w:val="subscript"/>
          <w:lang w:val="en-US"/>
        </w:rPr>
        <w:t>2</w:t>
      </w:r>
      <w:r w:rsidRPr="00E1178C">
        <w:rPr>
          <w:lang w:val="en-US"/>
        </w:rPr>
        <w:t>-free, renew</w:t>
      </w:r>
      <w:r w:rsidR="00D85D53">
        <w:rPr>
          <w:lang w:val="en-US"/>
        </w:rPr>
        <w:t>able energy.</w:t>
      </w:r>
    </w:p>
    <w:p w14:paraId="046E08A1" w14:textId="4663C172" w:rsidR="002A6C69" w:rsidRPr="002A6C69" w:rsidRDefault="002A6C69" w:rsidP="002A6C69">
      <w:pPr>
        <w:pStyle w:val="berschrift2"/>
        <w:rPr>
          <w:lang w:val="en-GB"/>
        </w:rPr>
      </w:pPr>
      <w:r w:rsidRPr="002A6C69">
        <w:rPr>
          <w:lang w:val="en-GB"/>
        </w:rPr>
        <w:t xml:space="preserve">PSH </w:t>
      </w:r>
      <w:r>
        <w:rPr>
          <w:lang w:val="en-GB"/>
        </w:rPr>
        <w:t>e</w:t>
      </w:r>
      <w:r w:rsidRPr="002A6C69">
        <w:rPr>
          <w:lang w:val="en-GB"/>
        </w:rPr>
        <w:t xml:space="preserve">xpert </w:t>
      </w:r>
      <w:r>
        <w:rPr>
          <w:lang w:val="en-GB"/>
        </w:rPr>
        <w:t>g</w:t>
      </w:r>
      <w:r w:rsidRPr="002A6C69">
        <w:rPr>
          <w:lang w:val="en-GB"/>
        </w:rPr>
        <w:t xml:space="preserve">roup </w:t>
      </w:r>
      <w:r>
        <w:rPr>
          <w:lang w:val="en-GB"/>
        </w:rPr>
        <w:t>r</w:t>
      </w:r>
      <w:r w:rsidRPr="002A6C69">
        <w:rPr>
          <w:lang w:val="en-GB"/>
        </w:rPr>
        <w:t>ecommendations</w:t>
      </w:r>
      <w:r w:rsidR="007F0232">
        <w:rPr>
          <w:lang w:val="en-GB"/>
        </w:rPr>
        <w:t xml:space="preserve"> and specific requirements regarding variable-frequency pump storage hydro power plants</w:t>
      </w:r>
    </w:p>
    <w:p w14:paraId="5135C713" w14:textId="3C849824" w:rsidR="007F0232" w:rsidRPr="007F0232" w:rsidRDefault="007F0232" w:rsidP="007F0232">
      <w:pPr>
        <w:rPr>
          <w:u w:val="single"/>
          <w:lang w:val="en-US"/>
        </w:rPr>
      </w:pPr>
      <w:r w:rsidRPr="007F0232">
        <w:rPr>
          <w:u w:val="single"/>
          <w:lang w:val="en-US"/>
        </w:rPr>
        <w:t>General requirements</w:t>
      </w:r>
    </w:p>
    <w:p w14:paraId="6447209E" w14:textId="2AE93F7F" w:rsidR="002A6C69" w:rsidRDefault="002A6C69" w:rsidP="002A6C69">
      <w:pPr>
        <w:spacing w:after="120"/>
        <w:rPr>
          <w:lang w:val="en-US"/>
        </w:rPr>
      </w:pPr>
      <w:r w:rsidRPr="002A6C69">
        <w:rPr>
          <w:lang w:val="en-US"/>
        </w:rPr>
        <w:t xml:space="preserve">The review of the technical requirements defined by NC </w:t>
      </w:r>
      <w:proofErr w:type="spellStart"/>
      <w:r w:rsidRPr="002A6C69">
        <w:rPr>
          <w:lang w:val="en-US"/>
        </w:rPr>
        <w:t>RfG</w:t>
      </w:r>
      <w:proofErr w:type="spellEnd"/>
      <w:r w:rsidRPr="002A6C69">
        <w:rPr>
          <w:lang w:val="en-US"/>
        </w:rPr>
        <w:t xml:space="preserve"> </w:t>
      </w:r>
      <w:proofErr w:type="gramStart"/>
      <w:r w:rsidRPr="002A6C69">
        <w:rPr>
          <w:lang w:val="en-US"/>
        </w:rPr>
        <w:t>with regard to</w:t>
      </w:r>
      <w:proofErr w:type="gramEnd"/>
      <w:r w:rsidRPr="002A6C69">
        <w:rPr>
          <w:lang w:val="en-US"/>
        </w:rPr>
        <w:t xml:space="preserve"> their applicability to </w:t>
      </w:r>
      <w:r>
        <w:rPr>
          <w:lang w:val="en-US"/>
        </w:rPr>
        <w:t>p</w:t>
      </w:r>
      <w:r w:rsidRPr="002A6C69">
        <w:rPr>
          <w:lang w:val="en-US"/>
        </w:rPr>
        <w:t xml:space="preserve">ump </w:t>
      </w:r>
      <w:r>
        <w:rPr>
          <w:lang w:val="en-US"/>
        </w:rPr>
        <w:t>s</w:t>
      </w:r>
      <w:r w:rsidRPr="002A6C69">
        <w:rPr>
          <w:lang w:val="en-US"/>
        </w:rPr>
        <w:t xml:space="preserve">torage </w:t>
      </w:r>
      <w:r>
        <w:rPr>
          <w:lang w:val="en-US"/>
        </w:rPr>
        <w:t>h</w:t>
      </w:r>
      <w:r w:rsidRPr="002A6C69">
        <w:rPr>
          <w:lang w:val="en-US"/>
        </w:rPr>
        <w:t xml:space="preserve">ydro </w:t>
      </w:r>
      <w:r>
        <w:rPr>
          <w:lang w:val="en-US"/>
        </w:rPr>
        <w:t>PGM</w:t>
      </w:r>
      <w:r w:rsidRPr="002A6C69">
        <w:rPr>
          <w:lang w:val="en-US"/>
        </w:rPr>
        <w:t xml:space="preserve"> has demonstrated that a distinction between the relevant generation technologies and the operation modes is necessary for assessing and evaluating whether these requirements can reasonably be applied.</w:t>
      </w:r>
    </w:p>
    <w:p w14:paraId="76B66E8B" w14:textId="239DAE48" w:rsidR="00E1178C" w:rsidRPr="002A6C69" w:rsidRDefault="002A6C69" w:rsidP="00B52079">
      <w:pPr>
        <w:spacing w:after="120"/>
        <w:rPr>
          <w:b/>
          <w:lang w:val="en-US"/>
        </w:rPr>
      </w:pPr>
      <w:r w:rsidRPr="002A6C69">
        <w:rPr>
          <w:b/>
          <w:lang w:val="en-US"/>
        </w:rPr>
        <w:t xml:space="preserve">If no changes in a future version of NC </w:t>
      </w:r>
      <w:proofErr w:type="spellStart"/>
      <w:r w:rsidRPr="002A6C69">
        <w:rPr>
          <w:b/>
          <w:lang w:val="en-US"/>
        </w:rPr>
        <w:t>RfG</w:t>
      </w:r>
      <w:proofErr w:type="spellEnd"/>
      <w:r w:rsidRPr="002A6C69">
        <w:rPr>
          <w:b/>
          <w:lang w:val="en-US"/>
        </w:rPr>
        <w:t xml:space="preserve"> are implemented, the requirements for pump storage hydro PGM will remain ambiguous and subject to differences in interpretation and therefore a lack of harmonization. The recommendations summarized in the respective PSH expert group report shall therefore be included in a future version of NC </w:t>
      </w:r>
      <w:proofErr w:type="spellStart"/>
      <w:r w:rsidRPr="002A6C69">
        <w:rPr>
          <w:b/>
          <w:lang w:val="en-US"/>
        </w:rPr>
        <w:t>RfG</w:t>
      </w:r>
      <w:proofErr w:type="spellEnd"/>
      <w:r w:rsidRPr="002A6C69">
        <w:rPr>
          <w:b/>
          <w:lang w:val="en-US"/>
        </w:rPr>
        <w:t>.</w:t>
      </w:r>
    </w:p>
    <w:p w14:paraId="3480D17C" w14:textId="77777777" w:rsidR="007F0232" w:rsidRPr="007F0232" w:rsidRDefault="007F0232" w:rsidP="009500E9">
      <w:pPr>
        <w:ind w:right="851"/>
        <w:rPr>
          <w:u w:val="single"/>
          <w:lang w:val="en-US"/>
        </w:rPr>
      </w:pPr>
      <w:r w:rsidRPr="007F0232">
        <w:rPr>
          <w:u w:val="single"/>
          <w:lang w:val="en-US"/>
        </w:rPr>
        <w:t xml:space="preserve">Specific requirements regarding variable-frequency pump storage hydro power plants </w:t>
      </w:r>
    </w:p>
    <w:p w14:paraId="5B2038C1" w14:textId="3C591B25" w:rsidR="009500E9" w:rsidRDefault="009500E9" w:rsidP="007F0232">
      <w:pPr>
        <w:spacing w:after="120"/>
        <w:ind w:right="851"/>
        <w:rPr>
          <w:lang w:val="en-US"/>
        </w:rPr>
      </w:pPr>
      <w:proofErr w:type="gramStart"/>
      <w:r w:rsidRPr="009500E9">
        <w:rPr>
          <w:lang w:val="en-US"/>
        </w:rPr>
        <w:t>Taking into account</w:t>
      </w:r>
      <w:proofErr w:type="gramEnd"/>
      <w:r w:rsidRPr="009500E9">
        <w:rPr>
          <w:lang w:val="en-US"/>
        </w:rPr>
        <w:t xml:space="preserve"> stability aspects, </w:t>
      </w:r>
      <w:r w:rsidR="007F0232">
        <w:rPr>
          <w:lang w:val="en-US"/>
        </w:rPr>
        <w:t xml:space="preserve">“hard-coded” LFSM-O or –U </w:t>
      </w:r>
      <w:r w:rsidRPr="009500E9">
        <w:rPr>
          <w:lang w:val="en-US"/>
        </w:rPr>
        <w:t>response time requirement</w:t>
      </w:r>
      <w:r w:rsidR="007F0232">
        <w:rPr>
          <w:lang w:val="en-US"/>
        </w:rPr>
        <w:t>s</w:t>
      </w:r>
      <w:r w:rsidRPr="009500E9">
        <w:rPr>
          <w:lang w:val="en-US"/>
        </w:rPr>
        <w:t xml:space="preserve"> might not be applicable/technically feasible for new or substantially modified </w:t>
      </w:r>
      <w:r w:rsidR="007F0232" w:rsidRPr="007F0232">
        <w:rPr>
          <w:lang w:val="en-US"/>
        </w:rPr>
        <w:lastRenderedPageBreak/>
        <w:t xml:space="preserve">variable-frequency pump storage hydro </w:t>
      </w:r>
      <w:r w:rsidR="007F0232">
        <w:rPr>
          <w:lang w:val="en-US"/>
        </w:rPr>
        <w:t>PGM technologies. In this case, t</w:t>
      </w:r>
      <w:r w:rsidRPr="009500E9">
        <w:rPr>
          <w:lang w:val="en-US"/>
        </w:rPr>
        <w:t xml:space="preserve">he robustness of </w:t>
      </w:r>
      <w:r w:rsidR="007F0232">
        <w:rPr>
          <w:lang w:val="en-US"/>
        </w:rPr>
        <w:t>the frequency dependent functions, limiting components (</w:t>
      </w:r>
      <w:proofErr w:type="gramStart"/>
      <w:r w:rsidR="007F0232">
        <w:rPr>
          <w:lang w:val="en-US"/>
        </w:rPr>
        <w:t>e.g.</w:t>
      </w:r>
      <w:proofErr w:type="gramEnd"/>
      <w:r w:rsidR="007F0232">
        <w:rPr>
          <w:lang w:val="en-US"/>
        </w:rPr>
        <w:t xml:space="preserve"> dynamics of pressure pipes) </w:t>
      </w:r>
      <w:r w:rsidRPr="009500E9">
        <w:rPr>
          <w:lang w:val="en-US"/>
        </w:rPr>
        <w:t>and potential damages to the PGM</w:t>
      </w:r>
      <w:r w:rsidR="007F0232">
        <w:rPr>
          <w:lang w:val="en-US"/>
        </w:rPr>
        <w:t xml:space="preserve"> or other facilities</w:t>
      </w:r>
      <w:r w:rsidRPr="009500E9">
        <w:rPr>
          <w:lang w:val="en-US"/>
        </w:rPr>
        <w:t xml:space="preserve">, due to too fast response times have to be considered. </w:t>
      </w:r>
    </w:p>
    <w:p w14:paraId="4173399A" w14:textId="77777777" w:rsidR="007F0232" w:rsidRPr="009500E9" w:rsidRDefault="007F0232" w:rsidP="007F0232">
      <w:pPr>
        <w:spacing w:after="120"/>
        <w:ind w:right="851"/>
        <w:rPr>
          <w:lang w:val="en-US"/>
        </w:rPr>
      </w:pPr>
    </w:p>
    <w:p w14:paraId="2EEFC343" w14:textId="3DE3C4F5" w:rsidR="007F0232" w:rsidRPr="007F0232" w:rsidRDefault="009500E9" w:rsidP="007F0232">
      <w:pPr>
        <w:spacing w:after="120"/>
        <w:ind w:right="851"/>
        <w:rPr>
          <w:b/>
          <w:lang w:val="en-US"/>
        </w:rPr>
      </w:pPr>
      <w:r w:rsidRPr="007F0232">
        <w:rPr>
          <w:b/>
          <w:lang w:val="en-US"/>
        </w:rPr>
        <w:t xml:space="preserve">Therefore, </w:t>
      </w:r>
      <w:proofErr w:type="spellStart"/>
      <w:r w:rsidR="007F0232" w:rsidRPr="007F0232">
        <w:rPr>
          <w:b/>
          <w:lang w:val="en-US"/>
        </w:rPr>
        <w:t>Oesterreichs</w:t>
      </w:r>
      <w:proofErr w:type="spellEnd"/>
      <w:r w:rsidR="007F0232" w:rsidRPr="007F0232">
        <w:rPr>
          <w:b/>
          <w:lang w:val="en-US"/>
        </w:rPr>
        <w:t xml:space="preserve"> </w:t>
      </w:r>
      <w:proofErr w:type="spellStart"/>
      <w:r w:rsidR="007F0232" w:rsidRPr="007F0232">
        <w:rPr>
          <w:b/>
          <w:lang w:val="en-US"/>
        </w:rPr>
        <w:t>Energie</w:t>
      </w:r>
      <w:proofErr w:type="spellEnd"/>
      <w:r w:rsidRPr="007F0232">
        <w:rPr>
          <w:b/>
          <w:lang w:val="en-US"/>
        </w:rPr>
        <w:t xml:space="preserve"> proposes to add the following sentence</w:t>
      </w:r>
      <w:r w:rsidR="007F0232" w:rsidRPr="007F0232">
        <w:rPr>
          <w:b/>
          <w:lang w:val="en-US"/>
        </w:rPr>
        <w:t xml:space="preserve"> to potentially “hard-coded” LFSM-O or –U response time requirements</w:t>
      </w:r>
      <w:r w:rsidR="00051E5A">
        <w:rPr>
          <w:b/>
          <w:lang w:val="en-US"/>
        </w:rPr>
        <w:t xml:space="preserve"> Article 13 (2) and Article 15(2) iii</w:t>
      </w:r>
      <w:r w:rsidR="007F0232" w:rsidRPr="007F0232">
        <w:rPr>
          <w:b/>
          <w:lang w:val="en-US"/>
        </w:rPr>
        <w:t>:</w:t>
      </w:r>
      <w:r w:rsidRPr="007F0232">
        <w:rPr>
          <w:b/>
          <w:lang w:val="en-US"/>
        </w:rPr>
        <w:t xml:space="preserve"> </w:t>
      </w:r>
    </w:p>
    <w:p w14:paraId="5D6A0F63" w14:textId="16AB0265" w:rsidR="009500E9" w:rsidRDefault="009500E9" w:rsidP="00CD16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851"/>
        <w:rPr>
          <w:i/>
          <w:lang w:val="en-US"/>
        </w:rPr>
      </w:pPr>
      <w:bookmarkStart w:id="2" w:name="_Hlk120523001"/>
      <w:r w:rsidRPr="007F0232">
        <w:rPr>
          <w:i/>
          <w:lang w:val="en-US"/>
        </w:rPr>
        <w:t>“If the response time is greater than stated above, the power-generating facility owner shall justify the higher response times, providing technical evidence to the relevant TSO.”</w:t>
      </w:r>
    </w:p>
    <w:bookmarkEnd w:id="2"/>
    <w:p w14:paraId="1D005CBF" w14:textId="0CD0ED53" w:rsidR="007D159E" w:rsidRPr="002A6C69" w:rsidRDefault="00B51F0A" w:rsidP="00B51F0A">
      <w:pPr>
        <w:pStyle w:val="berschrift2"/>
        <w:rPr>
          <w:lang w:val="en-GB"/>
        </w:rPr>
      </w:pPr>
      <w:r w:rsidRPr="00B51F0A">
        <w:rPr>
          <w:lang w:val="en-GB"/>
        </w:rPr>
        <w:t>Mismatch between voltage range</w:t>
      </w:r>
      <w:r>
        <w:rPr>
          <w:lang w:val="en-GB"/>
        </w:rPr>
        <w:t>s</w:t>
      </w:r>
      <w:r w:rsidRPr="00B51F0A">
        <w:rPr>
          <w:lang w:val="en-GB"/>
        </w:rPr>
        <w:t xml:space="preserve"> and </w:t>
      </w:r>
      <w:r>
        <w:rPr>
          <w:lang w:val="en-GB"/>
        </w:rPr>
        <w:t>international standards</w:t>
      </w:r>
    </w:p>
    <w:p w14:paraId="2D99846B" w14:textId="77777777" w:rsidR="00B51F0A" w:rsidRPr="00B51F0A" w:rsidRDefault="00B51F0A" w:rsidP="00B51F0A">
      <w:pPr>
        <w:spacing w:after="120"/>
        <w:ind w:right="851"/>
        <w:rPr>
          <w:lang w:val="en-GB"/>
        </w:rPr>
      </w:pPr>
      <w:proofErr w:type="spellStart"/>
      <w:r w:rsidRPr="00B51F0A">
        <w:rPr>
          <w:lang w:val="en-GB"/>
        </w:rPr>
        <w:t>Oesterreichs</w:t>
      </w:r>
      <w:proofErr w:type="spellEnd"/>
      <w:r w:rsidRPr="00B51F0A">
        <w:rPr>
          <w:lang w:val="en-GB"/>
        </w:rPr>
        <w:t xml:space="preserve"> </w:t>
      </w:r>
      <w:proofErr w:type="spellStart"/>
      <w:r w:rsidRPr="00B51F0A">
        <w:rPr>
          <w:lang w:val="en-GB"/>
        </w:rPr>
        <w:t>Energie</w:t>
      </w:r>
      <w:proofErr w:type="spellEnd"/>
      <w:r w:rsidRPr="00B51F0A">
        <w:rPr>
          <w:lang w:val="en-GB"/>
        </w:rPr>
        <w:t xml:space="preserve"> recognizes that in some EU member states special requirements are necessary for electrical equipment at the 400 kV grid voltage level, </w:t>
      </w:r>
      <w:proofErr w:type="gramStart"/>
      <w:r w:rsidRPr="00B51F0A">
        <w:rPr>
          <w:lang w:val="en-GB"/>
        </w:rPr>
        <w:t>in order to</w:t>
      </w:r>
      <w:proofErr w:type="gramEnd"/>
      <w:r w:rsidRPr="00B51F0A">
        <w:rPr>
          <w:lang w:val="en-GB"/>
        </w:rPr>
        <w:t xml:space="preserve"> take account of specific local grid operating conditions. However, in the view of </w:t>
      </w:r>
      <w:proofErr w:type="spellStart"/>
      <w:r w:rsidRPr="00B51F0A">
        <w:rPr>
          <w:lang w:val="en-GB"/>
        </w:rPr>
        <w:t>Oesterreichs</w:t>
      </w:r>
      <w:proofErr w:type="spellEnd"/>
      <w:r w:rsidRPr="00B51F0A">
        <w:rPr>
          <w:lang w:val="en-GB"/>
        </w:rPr>
        <w:t xml:space="preserve"> </w:t>
      </w:r>
      <w:proofErr w:type="spellStart"/>
      <w:r w:rsidRPr="00B51F0A">
        <w:rPr>
          <w:lang w:val="en-GB"/>
        </w:rPr>
        <w:t>Energie</w:t>
      </w:r>
      <w:proofErr w:type="spellEnd"/>
      <w:r w:rsidRPr="00B51F0A">
        <w:rPr>
          <w:lang w:val="en-GB"/>
        </w:rPr>
        <w:t>, such local requirements do not constitute a justification for extending the voltage requirements to an entire synchronous area.</w:t>
      </w:r>
    </w:p>
    <w:p w14:paraId="7579CEEA" w14:textId="0C2D5F85" w:rsidR="00B51F0A" w:rsidRPr="00B51F0A" w:rsidRDefault="00B51F0A" w:rsidP="00B51F0A">
      <w:pPr>
        <w:spacing w:after="120"/>
        <w:ind w:right="851"/>
        <w:rPr>
          <w:lang w:val="en-GB"/>
        </w:rPr>
      </w:pPr>
      <w:r w:rsidRPr="00B51F0A">
        <w:rPr>
          <w:lang w:val="en-GB"/>
        </w:rPr>
        <w:t>It is critically noted that the extended voltage ranges</w:t>
      </w:r>
      <w:r>
        <w:rPr>
          <w:lang w:val="en-GB"/>
        </w:rPr>
        <w:t xml:space="preserve"> for 400 kV</w:t>
      </w:r>
      <w:r w:rsidRPr="00B51F0A">
        <w:rPr>
          <w:lang w:val="en-GB"/>
        </w:rPr>
        <w:t xml:space="preserve"> </w:t>
      </w:r>
      <w:r>
        <w:rPr>
          <w:lang w:val="en-GB"/>
        </w:rPr>
        <w:t xml:space="preserve">according to </w:t>
      </w:r>
      <w:r w:rsidRPr="00B51F0A">
        <w:rPr>
          <w:lang w:val="en-GB"/>
        </w:rPr>
        <w:t>Article 16</w:t>
      </w:r>
      <w:r>
        <w:rPr>
          <w:lang w:val="en-GB"/>
        </w:rPr>
        <w:t>(2) a)</w:t>
      </w:r>
      <w:r w:rsidRPr="00B51F0A">
        <w:rPr>
          <w:lang w:val="en-GB"/>
        </w:rPr>
        <w:t xml:space="preserve"> are outside the standardized ranges used for compliance verification and quality testing by manufacturers of electrical equipment. Manufacturers do not provide any warranty or guarantee for voltages outside these standards.</w:t>
      </w:r>
    </w:p>
    <w:p w14:paraId="5D03E33D" w14:textId="75FF046B" w:rsidR="00B51F0A" w:rsidRPr="00B51F0A" w:rsidRDefault="00B51F0A" w:rsidP="00B51F0A">
      <w:pPr>
        <w:spacing w:after="120"/>
        <w:ind w:right="851"/>
        <w:rPr>
          <w:lang w:val="en-GB"/>
        </w:rPr>
      </w:pPr>
      <w:r w:rsidRPr="00B51F0A">
        <w:rPr>
          <w:lang w:val="en-GB"/>
        </w:rPr>
        <w:t>Although we are aware of the possibility for grid operators to operate their electrical equipment with voltages &gt; 420 kV at their own risk, according to A</w:t>
      </w:r>
      <w:r>
        <w:rPr>
          <w:lang w:val="en-GB"/>
        </w:rPr>
        <w:t>rticle</w:t>
      </w:r>
      <w:r w:rsidRPr="00B51F0A">
        <w:rPr>
          <w:lang w:val="en-GB"/>
        </w:rPr>
        <w:t xml:space="preserve"> 3 NC </w:t>
      </w:r>
      <w:proofErr w:type="spellStart"/>
      <w:r w:rsidRPr="00B51F0A">
        <w:rPr>
          <w:lang w:val="en-GB"/>
        </w:rPr>
        <w:t>RfG</w:t>
      </w:r>
      <w:proofErr w:type="spellEnd"/>
      <w:r w:rsidRPr="00B51F0A">
        <w:rPr>
          <w:lang w:val="en-GB"/>
        </w:rPr>
        <w:t xml:space="preserve"> the relevant (transmission) grid operators </w:t>
      </w:r>
      <w:proofErr w:type="gramStart"/>
      <w:r w:rsidRPr="00B51F0A">
        <w:rPr>
          <w:lang w:val="en-GB"/>
        </w:rPr>
        <w:t>have to</w:t>
      </w:r>
      <w:proofErr w:type="gramEnd"/>
      <w:r w:rsidRPr="00B51F0A">
        <w:rPr>
          <w:lang w:val="en-GB"/>
        </w:rPr>
        <w:t xml:space="preserve"> refuse the connection of a system that does not comply with the requirements set. </w:t>
      </w:r>
      <w:proofErr w:type="spellStart"/>
      <w:r w:rsidRPr="00B51F0A">
        <w:rPr>
          <w:lang w:val="en-GB"/>
        </w:rPr>
        <w:t>Oesterreichs</w:t>
      </w:r>
      <w:proofErr w:type="spellEnd"/>
      <w:r w:rsidRPr="00B51F0A">
        <w:rPr>
          <w:lang w:val="en-GB"/>
        </w:rPr>
        <w:t xml:space="preserve"> </w:t>
      </w:r>
      <w:proofErr w:type="spellStart"/>
      <w:r w:rsidRPr="00B51F0A">
        <w:rPr>
          <w:lang w:val="en-GB"/>
        </w:rPr>
        <w:t>Energie</w:t>
      </w:r>
      <w:proofErr w:type="spellEnd"/>
      <w:r w:rsidRPr="00B51F0A">
        <w:rPr>
          <w:lang w:val="en-GB"/>
        </w:rPr>
        <w:t xml:space="preserve"> therefore believes that the described discrepancy is not a pure risk decision. </w:t>
      </w:r>
    </w:p>
    <w:p w14:paraId="738ED41B" w14:textId="5AE6749F" w:rsidR="00B51F0A" w:rsidRPr="00B51F0A" w:rsidRDefault="00B51F0A" w:rsidP="00B51F0A">
      <w:pPr>
        <w:spacing w:after="120"/>
        <w:ind w:right="851"/>
        <w:rPr>
          <w:b/>
          <w:lang w:val="en-GB"/>
        </w:rPr>
      </w:pPr>
      <w:proofErr w:type="spellStart"/>
      <w:r w:rsidRPr="00B51F0A">
        <w:rPr>
          <w:b/>
          <w:lang w:val="en-GB"/>
        </w:rPr>
        <w:t>Oesterreichs</w:t>
      </w:r>
      <w:proofErr w:type="spellEnd"/>
      <w:r w:rsidRPr="00B51F0A">
        <w:rPr>
          <w:b/>
          <w:lang w:val="en-GB"/>
        </w:rPr>
        <w:t xml:space="preserve"> </w:t>
      </w:r>
      <w:proofErr w:type="spellStart"/>
      <w:r w:rsidRPr="00B51F0A">
        <w:rPr>
          <w:b/>
          <w:lang w:val="en-GB"/>
        </w:rPr>
        <w:t>Energie</w:t>
      </w:r>
      <w:proofErr w:type="spellEnd"/>
      <w:r w:rsidRPr="00B51F0A">
        <w:rPr>
          <w:b/>
          <w:lang w:val="en-GB"/>
        </w:rPr>
        <w:t xml:space="preserve"> proposes to change in Table 6.2 of NC </w:t>
      </w:r>
      <w:proofErr w:type="spellStart"/>
      <w:r w:rsidRPr="00B51F0A">
        <w:rPr>
          <w:b/>
          <w:lang w:val="en-GB"/>
        </w:rPr>
        <w:t>RfG</w:t>
      </w:r>
      <w:proofErr w:type="spellEnd"/>
      <w:r w:rsidRPr="00B51F0A">
        <w:rPr>
          <w:b/>
          <w:lang w:val="en-GB"/>
        </w:rPr>
        <w:t xml:space="preserve"> the </w:t>
      </w:r>
      <w:proofErr w:type="gramStart"/>
      <w:r w:rsidRPr="00B51F0A">
        <w:rPr>
          <w:b/>
          <w:lang w:val="en-GB"/>
        </w:rPr>
        <w:t>time period</w:t>
      </w:r>
      <w:proofErr w:type="gramEnd"/>
      <w:r w:rsidRPr="00B51F0A">
        <w:rPr>
          <w:b/>
          <w:lang w:val="en-GB"/>
        </w:rPr>
        <w:t xml:space="preserve"> for operation within the voltage range of CE of 1,05-1,10 </w:t>
      </w:r>
      <w:proofErr w:type="spellStart"/>
      <w:r w:rsidRPr="00B51F0A">
        <w:rPr>
          <w:b/>
          <w:lang w:val="en-GB"/>
        </w:rPr>
        <w:t>pu</w:t>
      </w:r>
      <w:proofErr w:type="spellEnd"/>
      <w:r w:rsidR="004E0627">
        <w:rPr>
          <w:b/>
          <w:lang w:val="en-GB"/>
        </w:rPr>
        <w:t xml:space="preserve"> to the same wording as for Nordics</w:t>
      </w:r>
      <w:r w:rsidRPr="00B51F0A">
        <w:rPr>
          <w:b/>
          <w:lang w:val="en-GB"/>
        </w:rPr>
        <w:t xml:space="preserve">: </w:t>
      </w:r>
    </w:p>
    <w:p w14:paraId="39879C88" w14:textId="020EBF4A" w:rsidR="007D159E" w:rsidRDefault="00B51F0A" w:rsidP="00CD16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right="851"/>
        <w:rPr>
          <w:lang w:val="en-GB"/>
        </w:rPr>
      </w:pPr>
      <w:r w:rsidRPr="00B51F0A">
        <w:rPr>
          <w:i/>
          <w:lang w:val="en-GB"/>
        </w:rPr>
        <w:t>“To be specified by each TSO, but not more than 60 minutes”</w:t>
      </w:r>
      <w:r>
        <w:rPr>
          <w:lang w:val="en-GB"/>
        </w:rPr>
        <w:t xml:space="preserve"> </w:t>
      </w:r>
      <w:bookmarkEnd w:id="0"/>
      <w:bookmarkEnd w:id="1"/>
    </w:p>
    <w:p w14:paraId="7C7D4730" w14:textId="38C1854D" w:rsidR="00FE3A64" w:rsidRDefault="00B033DD" w:rsidP="00B033DD">
      <w:pPr>
        <w:pStyle w:val="berschrift2"/>
        <w:rPr>
          <w:lang w:val="en-GB"/>
        </w:rPr>
      </w:pPr>
      <w:proofErr w:type="spellStart"/>
      <w:r>
        <w:rPr>
          <w:lang w:val="en-GB"/>
        </w:rPr>
        <w:t>BftA</w:t>
      </w:r>
      <w:proofErr w:type="spellEnd"/>
      <w:r w:rsidRPr="00B033DD">
        <w:rPr>
          <w:lang w:val="en-GB"/>
        </w:rPr>
        <w:t xml:space="preserve"> expert group recommendations </w:t>
      </w:r>
      <w:r>
        <w:rPr>
          <w:lang w:val="en-GB"/>
        </w:rPr>
        <w:t xml:space="preserve">/ </w:t>
      </w:r>
      <w:r w:rsidR="0039154F">
        <w:rPr>
          <w:lang w:val="en-GB"/>
        </w:rPr>
        <w:t>New requirements for type A</w:t>
      </w:r>
    </w:p>
    <w:p w14:paraId="59A50694" w14:textId="77777777" w:rsidR="00B033DD" w:rsidRDefault="00B033DD" w:rsidP="00B033DD">
      <w:pPr>
        <w:spacing w:after="120"/>
        <w:rPr>
          <w:lang w:val="en-GB"/>
        </w:rPr>
      </w:pPr>
      <w:r w:rsidRPr="00B033DD">
        <w:rPr>
          <w:lang w:val="en-GB"/>
        </w:rPr>
        <w:t xml:space="preserve">The number of installed </w:t>
      </w:r>
      <w:r>
        <w:rPr>
          <w:lang w:val="en-GB"/>
        </w:rPr>
        <w:t>t</w:t>
      </w:r>
      <w:r w:rsidRPr="00B033DD">
        <w:rPr>
          <w:lang w:val="en-GB"/>
        </w:rPr>
        <w:t xml:space="preserve">ype A </w:t>
      </w:r>
      <w:r>
        <w:rPr>
          <w:lang w:val="en-GB"/>
        </w:rPr>
        <w:t>PGM</w:t>
      </w:r>
      <w:r w:rsidRPr="00B033DD">
        <w:rPr>
          <w:lang w:val="en-GB"/>
        </w:rPr>
        <w:t xml:space="preserve"> has reached a level where the operation of this equipment has a ma</w:t>
      </w:r>
      <w:r>
        <w:rPr>
          <w:lang w:val="en-GB"/>
        </w:rPr>
        <w:t xml:space="preserve">jor impact on system security. </w:t>
      </w:r>
    </w:p>
    <w:p w14:paraId="5EA6A6FF" w14:textId="4F72A1EC" w:rsidR="00B033DD" w:rsidRDefault="00B033DD" w:rsidP="00B033DD">
      <w:pPr>
        <w:rPr>
          <w:b/>
          <w:lang w:val="en-GB"/>
        </w:rPr>
      </w:pPr>
      <w:r w:rsidRPr="00B033DD">
        <w:rPr>
          <w:b/>
          <w:lang w:val="en-GB"/>
        </w:rPr>
        <w:t xml:space="preserve">As also recommended by the expert group </w:t>
      </w:r>
      <w:proofErr w:type="spellStart"/>
      <w:r w:rsidRPr="00B033DD">
        <w:rPr>
          <w:b/>
          <w:lang w:val="en-GB"/>
        </w:rPr>
        <w:t>BftA</w:t>
      </w:r>
      <w:proofErr w:type="spellEnd"/>
      <w:r w:rsidRPr="00B033DD">
        <w:rPr>
          <w:b/>
          <w:lang w:val="en-GB"/>
        </w:rPr>
        <w:t>, new (preferably harmonized) requirements for (non-synchronous) type A (including FRT, reactive power capability and voltage ranges) should become mandatory.</w:t>
      </w:r>
    </w:p>
    <w:p w14:paraId="2C9F0213" w14:textId="3FCD4195" w:rsidR="00D64858" w:rsidRDefault="00D64858" w:rsidP="00D64858">
      <w:pPr>
        <w:pStyle w:val="berschrift2"/>
        <w:rPr>
          <w:lang w:val="en-GB"/>
        </w:rPr>
      </w:pPr>
      <w:r>
        <w:rPr>
          <w:lang w:val="en-GB"/>
        </w:rPr>
        <w:lastRenderedPageBreak/>
        <w:t xml:space="preserve">New requirements for electrical storages, electric vehicle charging devices, power-to-gas </w:t>
      </w:r>
      <w:proofErr w:type="gramStart"/>
      <w:r>
        <w:rPr>
          <w:lang w:val="en-GB"/>
        </w:rPr>
        <w:t>facilities</w:t>
      </w:r>
      <w:proofErr w:type="gramEnd"/>
      <w:r>
        <w:rPr>
          <w:lang w:val="en-GB"/>
        </w:rPr>
        <w:t xml:space="preserve"> and controllable loads</w:t>
      </w:r>
    </w:p>
    <w:p w14:paraId="174B3194" w14:textId="41D87D57" w:rsidR="00D64858" w:rsidRDefault="00D64858" w:rsidP="00433AAA">
      <w:pPr>
        <w:spacing w:after="120"/>
        <w:rPr>
          <w:lang w:val="en-GB"/>
        </w:rPr>
      </w:pPr>
      <w:r w:rsidRPr="00D64858">
        <w:rPr>
          <w:lang w:val="en-GB"/>
        </w:rPr>
        <w:t>The number of installed electrical storages, electric vehicle charging devices, power-to-gas facilities and controllable loads</w:t>
      </w:r>
      <w:r>
        <w:rPr>
          <w:lang w:val="en-GB"/>
        </w:rPr>
        <w:t xml:space="preserve"> (</w:t>
      </w:r>
      <w:proofErr w:type="gramStart"/>
      <w:r>
        <w:rPr>
          <w:lang w:val="en-GB"/>
        </w:rPr>
        <w:t>e.g.</w:t>
      </w:r>
      <w:proofErr w:type="gramEnd"/>
      <w:r>
        <w:rPr>
          <w:lang w:val="en-GB"/>
        </w:rPr>
        <w:t xml:space="preserve"> boilers) will significantly increase in the near future and thus affect the safe operation of distribution and transmission grids.</w:t>
      </w:r>
    </w:p>
    <w:p w14:paraId="4C1BC741" w14:textId="79551DAD" w:rsidR="00433AAA" w:rsidRDefault="00433AAA" w:rsidP="00433AAA">
      <w:pPr>
        <w:rPr>
          <w:b/>
          <w:lang w:val="en-GB"/>
        </w:rPr>
      </w:pPr>
      <w:proofErr w:type="spellStart"/>
      <w:r w:rsidRPr="00186BEC">
        <w:rPr>
          <w:b/>
          <w:lang w:val="en-GB"/>
        </w:rPr>
        <w:t>Oesterreichs</w:t>
      </w:r>
      <w:proofErr w:type="spellEnd"/>
      <w:r w:rsidRPr="00186BEC">
        <w:rPr>
          <w:b/>
          <w:lang w:val="en-GB"/>
        </w:rPr>
        <w:t xml:space="preserve"> </w:t>
      </w:r>
      <w:proofErr w:type="spellStart"/>
      <w:r w:rsidRPr="00186BEC">
        <w:rPr>
          <w:b/>
          <w:lang w:val="en-GB"/>
        </w:rPr>
        <w:t>Energie</w:t>
      </w:r>
      <w:proofErr w:type="spellEnd"/>
      <w:r w:rsidRPr="00186BEC">
        <w:rPr>
          <w:b/>
          <w:lang w:val="en-GB"/>
        </w:rPr>
        <w:t xml:space="preserve"> therefore proposes to include new </w:t>
      </w:r>
      <w:r w:rsidR="00186BEC">
        <w:rPr>
          <w:b/>
          <w:lang w:val="en-GB"/>
        </w:rPr>
        <w:t xml:space="preserve">(general and specific) </w:t>
      </w:r>
      <w:r w:rsidRPr="00186BEC">
        <w:rPr>
          <w:b/>
          <w:lang w:val="en-GB"/>
        </w:rPr>
        <w:t>requirements for the abovementioned grid users</w:t>
      </w:r>
      <w:r w:rsidR="00186BEC">
        <w:rPr>
          <w:b/>
          <w:lang w:val="en-GB"/>
        </w:rPr>
        <w:t xml:space="preserve"> in a future version of NC </w:t>
      </w:r>
      <w:proofErr w:type="spellStart"/>
      <w:r w:rsidR="00186BEC">
        <w:rPr>
          <w:b/>
          <w:lang w:val="en-GB"/>
        </w:rPr>
        <w:t>RfG</w:t>
      </w:r>
      <w:proofErr w:type="spellEnd"/>
      <w:r w:rsidRPr="00186BEC">
        <w:rPr>
          <w:b/>
          <w:lang w:val="en-GB"/>
        </w:rPr>
        <w:t>.</w:t>
      </w:r>
      <w:r w:rsidR="004E0627">
        <w:rPr>
          <w:b/>
          <w:lang w:val="en-GB"/>
        </w:rPr>
        <w:t xml:space="preserve"> Especially a frequency-dependent load behaviour of such units </w:t>
      </w:r>
      <w:r w:rsidR="004E60BA">
        <w:rPr>
          <w:b/>
          <w:lang w:val="en-GB"/>
        </w:rPr>
        <w:t>is import</w:t>
      </w:r>
      <w:r w:rsidR="00512EF9">
        <w:rPr>
          <w:b/>
          <w:lang w:val="en-GB"/>
        </w:rPr>
        <w:t>ant</w:t>
      </w:r>
      <w:r w:rsidR="004E60BA">
        <w:rPr>
          <w:b/>
          <w:lang w:val="en-GB"/>
        </w:rPr>
        <w:t xml:space="preserve"> for </w:t>
      </w:r>
      <w:r w:rsidR="00512EF9">
        <w:rPr>
          <w:b/>
          <w:lang w:val="en-GB"/>
        </w:rPr>
        <w:t xml:space="preserve">a </w:t>
      </w:r>
      <w:r w:rsidR="004E60BA">
        <w:rPr>
          <w:b/>
          <w:lang w:val="en-GB"/>
        </w:rPr>
        <w:t>secure system operation.</w:t>
      </w:r>
    </w:p>
    <w:p w14:paraId="4F66F9AB" w14:textId="3583272E" w:rsidR="00CC3B1C" w:rsidRDefault="00CC3B1C" w:rsidP="00CC3B1C">
      <w:pPr>
        <w:pStyle w:val="berschrift2"/>
        <w:rPr>
          <w:lang w:val="en-GB"/>
        </w:rPr>
      </w:pPr>
      <w:r>
        <w:rPr>
          <w:lang w:val="en-GB"/>
        </w:rPr>
        <w:t xml:space="preserve">Lack of </w:t>
      </w:r>
      <w:proofErr w:type="spellStart"/>
      <w:r>
        <w:rPr>
          <w:lang w:val="en-GB"/>
        </w:rPr>
        <w:t>of</w:t>
      </w:r>
      <w:proofErr w:type="spellEnd"/>
      <w:r>
        <w:rPr>
          <w:lang w:val="en-GB"/>
        </w:rPr>
        <w:t xml:space="preserve"> high-voltage ride through (HVRT) requirements</w:t>
      </w:r>
    </w:p>
    <w:p w14:paraId="4DB6B49F" w14:textId="2C62003E" w:rsidR="00CC3B1C" w:rsidRDefault="00CC3B1C" w:rsidP="00AC4769">
      <w:pPr>
        <w:spacing w:after="120"/>
        <w:rPr>
          <w:lang w:val="en-US"/>
        </w:rPr>
      </w:pPr>
      <w:r w:rsidRPr="00CC3B1C">
        <w:rPr>
          <w:lang w:val="en-US"/>
        </w:rPr>
        <w:t>In the case of fault</w:t>
      </w:r>
      <w:r>
        <w:rPr>
          <w:lang w:val="en-US"/>
        </w:rPr>
        <w:t>s</w:t>
      </w:r>
      <w:r w:rsidRPr="00CC3B1C">
        <w:rPr>
          <w:lang w:val="en-US"/>
        </w:rPr>
        <w:t xml:space="preserve"> </w:t>
      </w:r>
      <w:r>
        <w:rPr>
          <w:lang w:val="en-US"/>
        </w:rPr>
        <w:t>in electrical grids</w:t>
      </w:r>
      <w:r w:rsidRPr="00CC3B1C">
        <w:rPr>
          <w:lang w:val="en-US"/>
        </w:rPr>
        <w:t xml:space="preserve"> the situation right before fault clearance could have very low voltages at a given location. </w:t>
      </w:r>
      <w:proofErr w:type="gramStart"/>
      <w:r w:rsidR="000E1C79">
        <w:rPr>
          <w:lang w:val="en-US"/>
        </w:rPr>
        <w:t>This aspects</w:t>
      </w:r>
      <w:proofErr w:type="gramEnd"/>
      <w:r w:rsidR="000E1C79">
        <w:rPr>
          <w:lang w:val="en-US"/>
        </w:rPr>
        <w:t xml:space="preserve"> are already addressed by NC </w:t>
      </w:r>
      <w:proofErr w:type="spellStart"/>
      <w:r w:rsidR="000E1C79">
        <w:rPr>
          <w:lang w:val="en-US"/>
        </w:rPr>
        <w:t>RfG</w:t>
      </w:r>
      <w:proofErr w:type="spellEnd"/>
      <w:r w:rsidR="000E1C79">
        <w:rPr>
          <w:lang w:val="en-US"/>
        </w:rPr>
        <w:t xml:space="preserve"> by respective low-voltage ride through (LVRT) requirements. </w:t>
      </w:r>
      <w:r w:rsidRPr="00CC3B1C">
        <w:rPr>
          <w:lang w:val="en-US"/>
        </w:rPr>
        <w:t xml:space="preserve">However, just after fault clearance, the voltage can recover very quickly, sometime towards values greater </w:t>
      </w:r>
      <w:r w:rsidR="000E1C79">
        <w:rPr>
          <w:lang w:val="en-US"/>
        </w:rPr>
        <w:t>than</w:t>
      </w:r>
      <w:r w:rsidRPr="00CC3B1C">
        <w:rPr>
          <w:lang w:val="en-US"/>
        </w:rPr>
        <w:t xml:space="preserve"> 1.1</w:t>
      </w:r>
      <w:r w:rsidR="000E1C79">
        <w:rPr>
          <w:lang w:val="en-US"/>
        </w:rPr>
        <w:t xml:space="preserve"> </w:t>
      </w:r>
      <w:proofErr w:type="spellStart"/>
      <w:r w:rsidRPr="00CC3B1C">
        <w:rPr>
          <w:lang w:val="en-US"/>
        </w:rPr>
        <w:t>pu</w:t>
      </w:r>
      <w:proofErr w:type="spellEnd"/>
      <w:r w:rsidRPr="00CC3B1C">
        <w:rPr>
          <w:lang w:val="en-US"/>
        </w:rPr>
        <w:t xml:space="preserve">. </w:t>
      </w:r>
      <w:r w:rsidR="000E1C79" w:rsidRPr="000E1C79">
        <w:rPr>
          <w:b/>
          <w:lang w:val="en-US"/>
        </w:rPr>
        <w:t>PGM should therefore also</w:t>
      </w:r>
      <w:r w:rsidRPr="000E1C79">
        <w:rPr>
          <w:b/>
          <w:lang w:val="en-US"/>
        </w:rPr>
        <w:t xml:space="preserve"> withstand voltage </w:t>
      </w:r>
      <w:r w:rsidR="000E1C79" w:rsidRPr="000E1C79">
        <w:rPr>
          <w:b/>
          <w:lang w:val="en-US"/>
        </w:rPr>
        <w:t>overshoots for a given amount of time.</w:t>
      </w:r>
    </w:p>
    <w:p w14:paraId="29ACB73B" w14:textId="20674E0E" w:rsidR="000E1C79" w:rsidRPr="000E1C79" w:rsidRDefault="000E1C79" w:rsidP="000E1C79">
      <w:pPr>
        <w:spacing w:after="120"/>
        <w:rPr>
          <w:u w:val="single"/>
          <w:lang w:val="en-US"/>
        </w:rPr>
      </w:pPr>
      <w:r w:rsidRPr="000E1C79">
        <w:rPr>
          <w:u w:val="single"/>
          <w:lang w:val="en-US"/>
        </w:rPr>
        <w:t xml:space="preserve">Besides new HVRT requirements, </w:t>
      </w:r>
      <w:proofErr w:type="spellStart"/>
      <w:r w:rsidRPr="000E1C79">
        <w:rPr>
          <w:u w:val="single"/>
          <w:lang w:val="en-US"/>
        </w:rPr>
        <w:t>Oesterreichs</w:t>
      </w:r>
      <w:proofErr w:type="spellEnd"/>
      <w:r w:rsidRPr="000E1C79">
        <w:rPr>
          <w:u w:val="single"/>
          <w:lang w:val="en-US"/>
        </w:rPr>
        <w:t xml:space="preserve"> </w:t>
      </w:r>
      <w:proofErr w:type="spellStart"/>
      <w:r w:rsidRPr="000E1C79">
        <w:rPr>
          <w:u w:val="single"/>
          <w:lang w:val="en-US"/>
        </w:rPr>
        <w:t>Energie</w:t>
      </w:r>
      <w:proofErr w:type="spellEnd"/>
      <w:r w:rsidRPr="000E1C79">
        <w:rPr>
          <w:u w:val="single"/>
          <w:lang w:val="en-US"/>
        </w:rPr>
        <w:t xml:space="preserve"> proposes to add </w:t>
      </w:r>
      <w:r>
        <w:rPr>
          <w:u w:val="single"/>
          <w:lang w:val="en-US"/>
        </w:rPr>
        <w:t xml:space="preserve">in parallel </w:t>
      </w:r>
      <w:r w:rsidRPr="000E1C79">
        <w:rPr>
          <w:u w:val="single"/>
          <w:lang w:val="en-US"/>
        </w:rPr>
        <w:t xml:space="preserve">further clarifications: </w:t>
      </w:r>
      <w:r w:rsidR="00051E5A">
        <w:rPr>
          <w:u w:val="single"/>
          <w:lang w:val="en-US"/>
        </w:rPr>
        <w:t>Article 14 (3) c and 16 (3) d</w:t>
      </w:r>
    </w:p>
    <w:p w14:paraId="2112C32B" w14:textId="783F2649" w:rsidR="000E1C79" w:rsidRDefault="000E1C79" w:rsidP="000E1C79">
      <w:pPr>
        <w:spacing w:after="120"/>
        <w:rPr>
          <w:lang w:val="en-US"/>
        </w:rPr>
      </w:pPr>
      <w:r w:rsidRPr="000E1C79">
        <w:rPr>
          <w:i/>
          <w:lang w:val="en-US"/>
        </w:rPr>
        <w:t xml:space="preserve">"The respective over-voltage protection settings must not counteract the HVRT requirement. </w:t>
      </w:r>
      <w:r>
        <w:rPr>
          <w:i/>
          <w:lang w:val="en-US"/>
        </w:rPr>
        <w:t>T</w:t>
      </w:r>
      <w:r w:rsidRPr="000E1C79">
        <w:rPr>
          <w:i/>
          <w:lang w:val="en-US"/>
        </w:rPr>
        <w:t xml:space="preserve">he relevant system operator may define other over-voltage protection settings, </w:t>
      </w:r>
      <w:proofErr w:type="gramStart"/>
      <w:r w:rsidRPr="000E1C79">
        <w:rPr>
          <w:i/>
          <w:lang w:val="en-US"/>
        </w:rPr>
        <w:t>in order to</w:t>
      </w:r>
      <w:proofErr w:type="gramEnd"/>
      <w:r w:rsidRPr="000E1C79">
        <w:rPr>
          <w:i/>
          <w:lang w:val="en-US"/>
        </w:rPr>
        <w:t xml:space="preserve"> ensure voltage quality criteria or the risk </w:t>
      </w:r>
      <w:r>
        <w:rPr>
          <w:i/>
          <w:lang w:val="en-US"/>
        </w:rPr>
        <w:t>of high voltages for customers.”</w:t>
      </w:r>
    </w:p>
    <w:p w14:paraId="447F3466" w14:textId="4B6BF954" w:rsidR="000E1C79" w:rsidRDefault="000E1C79" w:rsidP="000E1C79">
      <w:pPr>
        <w:spacing w:after="120"/>
        <w:rPr>
          <w:lang w:val="en-US"/>
        </w:rPr>
      </w:pPr>
      <w:r>
        <w:rPr>
          <w:lang w:val="en-US"/>
        </w:rPr>
        <w:t xml:space="preserve">These additional clarifications </w:t>
      </w:r>
      <w:proofErr w:type="gramStart"/>
      <w:r>
        <w:rPr>
          <w:lang w:val="en-US"/>
        </w:rPr>
        <w:t>take into account</w:t>
      </w:r>
      <w:proofErr w:type="gramEnd"/>
      <w:r>
        <w:rPr>
          <w:lang w:val="en-US"/>
        </w:rPr>
        <w:t>, that t</w:t>
      </w:r>
      <w:r w:rsidRPr="000E1C79">
        <w:rPr>
          <w:lang w:val="en-US"/>
        </w:rPr>
        <w:t xml:space="preserve">he recommended over-voltage protection settings in national grid codes usually </w:t>
      </w:r>
      <w:r>
        <w:rPr>
          <w:lang w:val="en-US"/>
        </w:rPr>
        <w:t>require</w:t>
      </w:r>
      <w:r w:rsidRPr="000E1C79">
        <w:rPr>
          <w:lang w:val="en-US"/>
        </w:rPr>
        <w:t xml:space="preserve"> the fulfilment of voltage quality criteria (EN 50160) and the risk mitigation </w:t>
      </w:r>
      <w:r>
        <w:rPr>
          <w:lang w:val="en-US"/>
        </w:rPr>
        <w:t xml:space="preserve">of high voltages for customers. </w:t>
      </w:r>
      <w:r w:rsidRPr="000E1C79">
        <w:rPr>
          <w:lang w:val="en-US"/>
        </w:rPr>
        <w:t>With typical protection relays (U&gt;, U&gt;&gt;) there could be a contradiction between the relevant system operator’s protection concept and the activation of HVRT in certain grid areas.</w:t>
      </w:r>
    </w:p>
    <w:p w14:paraId="617601E9" w14:textId="7C808F52" w:rsidR="000E1C79" w:rsidRDefault="000E1C79" w:rsidP="000E1C79">
      <w:pPr>
        <w:pStyle w:val="berschrift2"/>
        <w:rPr>
          <w:lang w:val="en-GB"/>
        </w:rPr>
      </w:pPr>
      <w:r>
        <w:rPr>
          <w:lang w:val="en-GB"/>
        </w:rPr>
        <w:t>Error c</w:t>
      </w:r>
      <w:r w:rsidRPr="00186BEC">
        <w:rPr>
          <w:lang w:val="en-GB"/>
        </w:rPr>
        <w:t xml:space="preserve">orrection of Q-Capability </w:t>
      </w:r>
      <w:r>
        <w:rPr>
          <w:lang w:val="en-GB"/>
        </w:rPr>
        <w:t>d</w:t>
      </w:r>
      <w:r w:rsidRPr="00186BEC">
        <w:rPr>
          <w:lang w:val="en-GB"/>
        </w:rPr>
        <w:t xml:space="preserve">iagram (decouple from fixed 1,1 </w:t>
      </w:r>
      <w:proofErr w:type="spellStart"/>
      <w:r w:rsidRPr="00186BEC">
        <w:rPr>
          <w:lang w:val="en-GB"/>
        </w:rPr>
        <w:t>pu</w:t>
      </w:r>
      <w:proofErr w:type="spellEnd"/>
      <w:r w:rsidRPr="00186BEC">
        <w:rPr>
          <w:lang w:val="en-GB"/>
        </w:rPr>
        <w:t>)</w:t>
      </w:r>
      <w:r w:rsidR="00051E5A">
        <w:rPr>
          <w:lang w:val="en-GB"/>
        </w:rPr>
        <w:t xml:space="preserve"> Article 18 2b figure 7 and Article 21 3b Figure 8</w:t>
      </w:r>
    </w:p>
    <w:p w14:paraId="7706776E" w14:textId="47C91F3F" w:rsidR="000E1C79" w:rsidRDefault="000E1C79" w:rsidP="000E1C79">
      <w:pPr>
        <w:rPr>
          <w:lang w:val="en-GB"/>
        </w:rPr>
      </w:pPr>
      <w:r>
        <w:rPr>
          <w:lang w:val="en-GB"/>
        </w:rPr>
        <w:t>The currently existing r</w:t>
      </w:r>
      <w:r w:rsidRPr="00186BEC">
        <w:rPr>
          <w:lang w:val="en-GB"/>
        </w:rPr>
        <w:t>eactive power requirements</w:t>
      </w:r>
      <w:r>
        <w:rPr>
          <w:lang w:val="en-GB"/>
        </w:rPr>
        <w:t xml:space="preserve"> in </w:t>
      </w:r>
      <w:proofErr w:type="gramStart"/>
      <w:r>
        <w:rPr>
          <w:lang w:val="en-GB"/>
        </w:rPr>
        <w:t>Article</w:t>
      </w:r>
      <w:proofErr w:type="gramEnd"/>
      <w:r>
        <w:rPr>
          <w:lang w:val="en-GB"/>
        </w:rPr>
        <w:t xml:space="preserve"> 18 and 21</w:t>
      </w:r>
      <w:r w:rsidRPr="00186BEC">
        <w:rPr>
          <w:lang w:val="en-GB"/>
        </w:rPr>
        <w:t xml:space="preserve"> are not set for the w</w:t>
      </w:r>
      <w:r>
        <w:rPr>
          <w:lang w:val="en-GB"/>
        </w:rPr>
        <w:t xml:space="preserve">hole operational voltage range, since the outer envelope is fixed with 1,1 </w:t>
      </w:r>
      <w:proofErr w:type="spellStart"/>
      <w:r>
        <w:rPr>
          <w:lang w:val="en-GB"/>
        </w:rPr>
        <w:t>pu</w:t>
      </w:r>
      <w:proofErr w:type="spellEnd"/>
      <w:r>
        <w:rPr>
          <w:lang w:val="en-GB"/>
        </w:rPr>
        <w:t xml:space="preserve">. </w:t>
      </w:r>
      <w:r w:rsidRPr="00186BEC">
        <w:rPr>
          <w:lang w:val="en-GB"/>
        </w:rPr>
        <w:t xml:space="preserve">This </w:t>
      </w:r>
      <w:r>
        <w:rPr>
          <w:lang w:val="en-GB"/>
        </w:rPr>
        <w:t xml:space="preserve">error </w:t>
      </w:r>
      <w:r w:rsidRPr="00186BEC">
        <w:rPr>
          <w:lang w:val="en-GB"/>
        </w:rPr>
        <w:t>lead</w:t>
      </w:r>
      <w:r>
        <w:rPr>
          <w:lang w:val="en-GB"/>
        </w:rPr>
        <w:t>s</w:t>
      </w:r>
      <w:r w:rsidRPr="00186BEC">
        <w:rPr>
          <w:lang w:val="en-GB"/>
        </w:rPr>
        <w:t xml:space="preserve"> to </w:t>
      </w:r>
      <w:r>
        <w:rPr>
          <w:lang w:val="en-GB"/>
        </w:rPr>
        <w:t xml:space="preserve">an undefined reactive power capability in case of voltages greater than 1,1 </w:t>
      </w:r>
      <w:proofErr w:type="spellStart"/>
      <w:r>
        <w:rPr>
          <w:lang w:val="en-GB"/>
        </w:rPr>
        <w:t>pu</w:t>
      </w:r>
      <w:proofErr w:type="spellEnd"/>
      <w:r>
        <w:rPr>
          <w:lang w:val="en-GB"/>
        </w:rPr>
        <w:t xml:space="preserve"> (</w:t>
      </w:r>
      <w:proofErr w:type="gramStart"/>
      <w:r>
        <w:rPr>
          <w:lang w:val="en-GB"/>
        </w:rPr>
        <w:t>e.g.</w:t>
      </w:r>
      <w:proofErr w:type="gramEnd"/>
      <w:r>
        <w:rPr>
          <w:lang w:val="en-GB"/>
        </w:rPr>
        <w:t xml:space="preserve"> where the reference voltage 1 </w:t>
      </w:r>
      <w:proofErr w:type="spellStart"/>
      <w:r>
        <w:rPr>
          <w:lang w:val="en-GB"/>
        </w:rPr>
        <w:t>pu</w:t>
      </w:r>
      <w:proofErr w:type="spellEnd"/>
      <w:r>
        <w:rPr>
          <w:lang w:val="en-GB"/>
        </w:rPr>
        <w:t xml:space="preserve"> is equal to 110 or 220 kV).</w:t>
      </w:r>
    </w:p>
    <w:p w14:paraId="56E08649" w14:textId="3E57031E" w:rsidR="000E1C79" w:rsidRDefault="000E1C79" w:rsidP="000E1C79">
      <w:pPr>
        <w:pStyle w:val="berschrift2"/>
        <w:rPr>
          <w:lang w:val="en-GB"/>
        </w:rPr>
      </w:pPr>
      <w:r>
        <w:rPr>
          <w:lang w:val="en-GB"/>
        </w:rPr>
        <w:t xml:space="preserve">Harmonization of </w:t>
      </w:r>
      <w:proofErr w:type="spellStart"/>
      <w:r>
        <w:rPr>
          <w:lang w:val="en-GB"/>
        </w:rPr>
        <w:t>RoCoF</w:t>
      </w:r>
      <w:proofErr w:type="spellEnd"/>
      <w:r>
        <w:rPr>
          <w:lang w:val="en-GB"/>
        </w:rPr>
        <w:t>, LFSM-O and –U requirement for each synchronous area</w:t>
      </w:r>
      <w:r w:rsidR="00BF68CC">
        <w:rPr>
          <w:lang w:val="en-GB"/>
        </w:rPr>
        <w:t xml:space="preserve"> </w:t>
      </w:r>
      <w:r w:rsidR="00BF68CC">
        <w:rPr>
          <w:lang w:val="en-GB"/>
        </w:rPr>
        <w:t xml:space="preserve">Article 13 (1) b </w:t>
      </w:r>
      <w:r w:rsidR="00BF68CC">
        <w:rPr>
          <w:lang w:val="en-GB"/>
        </w:rPr>
        <w:t>and Article 13 (2) a</w:t>
      </w:r>
    </w:p>
    <w:p w14:paraId="7E8C74FC" w14:textId="7D1572D0" w:rsidR="000E1C79" w:rsidRDefault="00BF68CC" w:rsidP="000E1C79">
      <w:pPr>
        <w:spacing w:after="120"/>
        <w:rPr>
          <w:lang w:val="en-GB"/>
        </w:rPr>
      </w:pPr>
      <w:r>
        <w:rPr>
          <w:lang w:val="en-GB"/>
        </w:rPr>
        <w:t>Article 13 (1) b add sentence …</w:t>
      </w:r>
      <w:r w:rsidR="000E1C79" w:rsidRPr="00AC4769">
        <w:rPr>
          <w:lang w:val="en-GB"/>
        </w:rPr>
        <w:t>Frequency withstand capabilities are key for the design of a synchronous area robustness</w:t>
      </w:r>
      <w:r w:rsidR="000E1C79">
        <w:rPr>
          <w:lang w:val="en-GB"/>
        </w:rPr>
        <w:t>.</w:t>
      </w:r>
      <w:r w:rsidR="000E1C79" w:rsidRPr="00AC4769">
        <w:rPr>
          <w:lang w:val="en-GB"/>
        </w:rPr>
        <w:t xml:space="preserve"> </w:t>
      </w:r>
      <w:r w:rsidR="000E1C79">
        <w:rPr>
          <w:lang w:val="en-GB"/>
        </w:rPr>
        <w:t xml:space="preserve">Varying national requirements </w:t>
      </w:r>
      <w:r w:rsidR="000E1C79" w:rsidRPr="00AC4769">
        <w:rPr>
          <w:lang w:val="en-GB"/>
        </w:rPr>
        <w:t>could lead to inefficie</w:t>
      </w:r>
      <w:r w:rsidR="000E1C79">
        <w:rPr>
          <w:lang w:val="en-GB"/>
        </w:rPr>
        <w:t xml:space="preserve">ncies and an undefined behaviour within a synchronous area. </w:t>
      </w:r>
      <w:r w:rsidR="000E1C79" w:rsidRPr="00AC4769">
        <w:rPr>
          <w:lang w:val="en-GB"/>
        </w:rPr>
        <w:t xml:space="preserve">Furthermore, the </w:t>
      </w:r>
      <w:r w:rsidR="000E1C79">
        <w:rPr>
          <w:lang w:val="en-GB"/>
        </w:rPr>
        <w:t>already existing implementation guidance documents (</w:t>
      </w:r>
      <w:r w:rsidR="000E1C79" w:rsidRPr="00AC4769">
        <w:rPr>
          <w:lang w:val="en-GB"/>
        </w:rPr>
        <w:t>IGD</w:t>
      </w:r>
      <w:r w:rsidR="000E1C79">
        <w:rPr>
          <w:lang w:val="en-GB"/>
        </w:rPr>
        <w:t>) recommend</w:t>
      </w:r>
      <w:r w:rsidR="000E1C79" w:rsidRPr="00AC4769">
        <w:rPr>
          <w:lang w:val="en-GB"/>
        </w:rPr>
        <w:t xml:space="preserve"> </w:t>
      </w:r>
      <w:r w:rsidR="000E1C79">
        <w:rPr>
          <w:lang w:val="en-GB"/>
        </w:rPr>
        <w:t xml:space="preserve">already specific requirements for </w:t>
      </w:r>
      <w:proofErr w:type="spellStart"/>
      <w:r w:rsidR="000E1C79" w:rsidRPr="00AC4769">
        <w:rPr>
          <w:lang w:val="en-GB"/>
        </w:rPr>
        <w:t>RoCoF</w:t>
      </w:r>
      <w:proofErr w:type="spellEnd"/>
      <w:r w:rsidR="000E1C79" w:rsidRPr="00AC4769">
        <w:rPr>
          <w:lang w:val="en-GB"/>
        </w:rPr>
        <w:t>, LFSM-O and –U</w:t>
      </w:r>
      <w:r w:rsidR="000E1C79">
        <w:rPr>
          <w:lang w:val="en-GB"/>
        </w:rPr>
        <w:t>.</w:t>
      </w:r>
    </w:p>
    <w:p w14:paraId="6D70D8E9" w14:textId="77777777" w:rsidR="000E1C79" w:rsidRPr="00AC4769" w:rsidRDefault="000E1C79" w:rsidP="000E1C79">
      <w:pPr>
        <w:rPr>
          <w:u w:val="single"/>
          <w:lang w:val="en-GB"/>
        </w:rPr>
      </w:pPr>
      <w:proofErr w:type="spellStart"/>
      <w:r w:rsidRPr="00AC4769">
        <w:rPr>
          <w:u w:val="single"/>
          <w:lang w:val="en-GB"/>
        </w:rPr>
        <w:t>RoCoF</w:t>
      </w:r>
      <w:proofErr w:type="spellEnd"/>
      <w:r w:rsidRPr="00AC4769">
        <w:rPr>
          <w:u w:val="single"/>
          <w:lang w:val="en-GB"/>
        </w:rPr>
        <w:t xml:space="preserve"> for Continental Europe:</w:t>
      </w:r>
    </w:p>
    <w:p w14:paraId="1D3E5C1B" w14:textId="77777777" w:rsidR="000E1C79" w:rsidRPr="00AC4769" w:rsidRDefault="000E1C79" w:rsidP="000E1C79">
      <w:pPr>
        <w:pStyle w:val="Listenabsatz"/>
        <w:numPr>
          <w:ilvl w:val="0"/>
          <w:numId w:val="10"/>
        </w:numPr>
        <w:rPr>
          <w:lang w:val="en-US"/>
        </w:rPr>
      </w:pPr>
      <w:r w:rsidRPr="00AC4769">
        <w:rPr>
          <w:lang w:val="en-US"/>
        </w:rPr>
        <w:t>±2,0 Hz/s over a period of 0,5 s</w:t>
      </w:r>
    </w:p>
    <w:p w14:paraId="7C603C37" w14:textId="77777777" w:rsidR="000E1C79" w:rsidRPr="00AC4769" w:rsidRDefault="000E1C79" w:rsidP="000E1C79">
      <w:pPr>
        <w:pStyle w:val="Listenabsatz"/>
        <w:numPr>
          <w:ilvl w:val="0"/>
          <w:numId w:val="10"/>
        </w:numPr>
        <w:rPr>
          <w:lang w:val="en-US"/>
        </w:rPr>
      </w:pPr>
      <w:r w:rsidRPr="00AC4769">
        <w:rPr>
          <w:lang w:val="en-US"/>
        </w:rPr>
        <w:t>±1,5 Hz/s over a period of 1 s</w:t>
      </w:r>
    </w:p>
    <w:p w14:paraId="12F303F8" w14:textId="1A627FDE" w:rsidR="000E1C79" w:rsidRDefault="000E1C79" w:rsidP="000E1C79">
      <w:pPr>
        <w:pStyle w:val="Listenabsatz"/>
        <w:numPr>
          <w:ilvl w:val="0"/>
          <w:numId w:val="10"/>
        </w:numPr>
        <w:spacing w:after="120"/>
        <w:rPr>
          <w:lang w:val="en-US"/>
        </w:rPr>
      </w:pPr>
      <w:r w:rsidRPr="00AC4769">
        <w:rPr>
          <w:lang w:val="en-US"/>
        </w:rPr>
        <w:lastRenderedPageBreak/>
        <w:t>±1,25 Hz/s over a period of 2 s</w:t>
      </w:r>
    </w:p>
    <w:p w14:paraId="3A067486" w14:textId="77777777" w:rsidR="00525EAE" w:rsidRPr="00525EAE" w:rsidRDefault="00525EAE" w:rsidP="00525EAE">
      <w:pPr>
        <w:spacing w:after="120"/>
        <w:rPr>
          <w:u w:val="single"/>
          <w:lang w:val="en-US"/>
        </w:rPr>
      </w:pPr>
      <w:r w:rsidRPr="00525EAE">
        <w:rPr>
          <w:u w:val="single"/>
          <w:lang w:val="en-US"/>
        </w:rPr>
        <w:t xml:space="preserve">LFSM-O and -U thresholds </w:t>
      </w:r>
      <w:r w:rsidRPr="00525EAE">
        <w:rPr>
          <w:u w:val="single"/>
          <w:lang w:val="en-GB"/>
        </w:rPr>
        <w:t>for Continental Europe</w:t>
      </w:r>
      <w:r w:rsidRPr="00525EAE">
        <w:rPr>
          <w:u w:val="single"/>
          <w:lang w:val="en-US"/>
        </w:rPr>
        <w:t>: 50,2 Hz / 49,8 Hz</w:t>
      </w:r>
    </w:p>
    <w:p w14:paraId="68A3E422" w14:textId="0053A894" w:rsidR="00215128" w:rsidRDefault="00215128" w:rsidP="00771CE2">
      <w:pPr>
        <w:pStyle w:val="berschrift1"/>
        <w:rPr>
          <w:lang w:val="en-GB"/>
        </w:rPr>
      </w:pPr>
      <w:proofErr w:type="gramStart"/>
      <w:r>
        <w:rPr>
          <w:lang w:val="en-GB"/>
        </w:rPr>
        <w:t>Ad  Chapter</w:t>
      </w:r>
      <w:proofErr w:type="gramEnd"/>
      <w:r>
        <w:rPr>
          <w:lang w:val="en-GB"/>
        </w:rPr>
        <w:t xml:space="preserve"> </w:t>
      </w:r>
      <w:r w:rsidR="00101D0B">
        <w:rPr>
          <w:lang w:val="en-GB"/>
        </w:rPr>
        <w:t>8</w:t>
      </w:r>
      <w:r>
        <w:rPr>
          <w:lang w:val="en-GB"/>
        </w:rPr>
        <w:t xml:space="preserve"> </w:t>
      </w:r>
      <w:r w:rsidR="00101D0B">
        <w:rPr>
          <w:lang w:val="en-GB"/>
        </w:rPr>
        <w:t xml:space="preserve">to </w:t>
      </w:r>
      <w:r>
        <w:rPr>
          <w:lang w:val="en-GB"/>
        </w:rPr>
        <w:t xml:space="preserve">Article </w:t>
      </w:r>
      <w:r w:rsidR="00101D0B">
        <w:rPr>
          <w:lang w:val="en-GB"/>
        </w:rPr>
        <w:t>13</w:t>
      </w:r>
    </w:p>
    <w:p w14:paraId="196D1DB5" w14:textId="092F7B71" w:rsidR="00215128" w:rsidRDefault="00215128" w:rsidP="00215128">
      <w:pPr>
        <w:pStyle w:val="berschrift2"/>
        <w:rPr>
          <w:lang w:val="en-GB"/>
        </w:rPr>
      </w:pPr>
      <w:r>
        <w:rPr>
          <w:lang w:val="en-GB"/>
        </w:rPr>
        <w:t xml:space="preserve">Requirements for </w:t>
      </w:r>
      <w:proofErr w:type="spellStart"/>
      <w:r>
        <w:rPr>
          <w:lang w:val="en-GB"/>
        </w:rPr>
        <w:t>Typ</w:t>
      </w:r>
      <w:proofErr w:type="spellEnd"/>
      <w:r>
        <w:rPr>
          <w:lang w:val="en-GB"/>
        </w:rPr>
        <w:t xml:space="preserve"> A infeed converters</w:t>
      </w:r>
    </w:p>
    <w:p w14:paraId="7D9F5DD0" w14:textId="3B1D994D" w:rsidR="00427A16" w:rsidRPr="00427A16" w:rsidRDefault="00427A16" w:rsidP="00427A16">
      <w:pPr>
        <w:rPr>
          <w:b/>
          <w:bCs/>
          <w:lang w:val="en-GB"/>
        </w:rPr>
      </w:pPr>
      <w:r w:rsidRPr="00427A16">
        <w:rPr>
          <w:b/>
          <w:bCs/>
          <w:lang w:val="en-GB"/>
        </w:rPr>
        <w:t xml:space="preserve">Reasoning </w:t>
      </w:r>
    </w:p>
    <w:p w14:paraId="798F0087" w14:textId="7C447443" w:rsidR="00427A16" w:rsidRPr="00427A16" w:rsidRDefault="00427A16" w:rsidP="00427A16">
      <w:pPr>
        <w:rPr>
          <w:lang w:val="en-GB"/>
        </w:rPr>
      </w:pPr>
      <w:r>
        <w:rPr>
          <w:lang w:val="en-GB"/>
        </w:rPr>
        <w:t>The two additional function Q(U) and P(U) are very helpful to integrate a lot of additional solar power into the existing LV-grids and due to a long tradition in Austria (since 2016) we know that almost all infeed converters can provide the function just by activating them in the software.</w:t>
      </w:r>
    </w:p>
    <w:p w14:paraId="45517A99" w14:textId="2FFB5DD4" w:rsidR="00E02DFB" w:rsidRDefault="00E02DFB" w:rsidP="00E02DFB">
      <w:pPr>
        <w:pStyle w:val="berschrift3"/>
        <w:rPr>
          <w:lang w:val="en-GB"/>
        </w:rPr>
      </w:pPr>
      <w:r>
        <w:rPr>
          <w:lang w:val="en-GB"/>
        </w:rPr>
        <w:t>Q(U)</w:t>
      </w:r>
    </w:p>
    <w:p w14:paraId="594B5725" w14:textId="4E46D9A9" w:rsidR="00A710E2" w:rsidRPr="00A710E2" w:rsidRDefault="00640731" w:rsidP="00A710E2">
      <w:pPr>
        <w:rPr>
          <w:lang w:val="en-GB"/>
        </w:rPr>
      </w:pPr>
      <w:bookmarkStart w:id="3" w:name="_Hlk120524717"/>
      <w:proofErr w:type="spellStart"/>
      <w:r>
        <w:rPr>
          <w:lang w:val="en-GB"/>
        </w:rPr>
        <w:t>Typ</w:t>
      </w:r>
      <w:proofErr w:type="spellEnd"/>
      <w:r w:rsidR="00A77DC8">
        <w:rPr>
          <w:lang w:val="en-GB"/>
        </w:rPr>
        <w:t xml:space="preserve"> A power-generator modules shall be capable of providing r</w:t>
      </w:r>
      <w:r w:rsidR="00A710E2">
        <w:rPr>
          <w:lang w:val="en-GB"/>
        </w:rPr>
        <w:t xml:space="preserve">eactive power </w:t>
      </w:r>
      <w:r w:rsidR="00A77DC8">
        <w:rPr>
          <w:lang w:val="en-GB"/>
        </w:rPr>
        <w:t xml:space="preserve">with regard to </w:t>
      </w:r>
      <w:r w:rsidR="00427A16">
        <w:rPr>
          <w:lang w:val="en-GB"/>
        </w:rPr>
        <w:t>U/</w:t>
      </w:r>
      <w:proofErr w:type="gramStart"/>
      <w:r w:rsidR="00427A16">
        <w:rPr>
          <w:lang w:val="en-GB"/>
        </w:rPr>
        <w:t>U</w:t>
      </w:r>
      <w:r w:rsidR="00427A16">
        <w:rPr>
          <w:vertAlign w:val="subscript"/>
          <w:lang w:val="en-GB"/>
        </w:rPr>
        <w:t>n</w:t>
      </w:r>
      <w:r w:rsidR="00A77DC8">
        <w:rPr>
          <w:lang w:val="en-GB"/>
        </w:rPr>
        <w:t xml:space="preserve">  specified</w:t>
      </w:r>
      <w:proofErr w:type="gramEnd"/>
      <w:r w:rsidR="00A77DC8">
        <w:rPr>
          <w:lang w:val="en-GB"/>
        </w:rPr>
        <w:t xml:space="preserve"> by the relevant DSO</w:t>
      </w:r>
    </w:p>
    <w:p w14:paraId="334DCFB5" w14:textId="4B261CA2" w:rsidR="00E02DFB" w:rsidRPr="00E02DFB" w:rsidRDefault="00E02DFB" w:rsidP="00E02DFB">
      <w:pPr>
        <w:rPr>
          <w:lang w:val="en-GB"/>
        </w:rPr>
      </w:pPr>
      <w:r>
        <w:rPr>
          <w:noProof/>
          <w:lang w:eastAsia="de-AT"/>
        </w:rPr>
        <w:drawing>
          <wp:inline distT="0" distB="0" distL="0" distR="0" wp14:anchorId="10255071" wp14:editId="028BAD83">
            <wp:extent cx="4012835" cy="2054859"/>
            <wp:effectExtent l="0" t="0" r="6985" b="3175"/>
            <wp:docPr id="16" name="Grafik 69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46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Grafik 69">
                      <a:extLst>
                        <a:ext uri="{FF2B5EF4-FFF2-40B4-BE49-F238E27FC236}">
                          <a16:creationId xmlns:a16="http://schemas.microsoft.com/office/drawing/2014/main" id="{00000000-0008-0000-0000-000046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34495" cy="206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6108" w:type="dxa"/>
        <w:jc w:val="center"/>
        <w:tblLayout w:type="fixed"/>
        <w:tblLook w:val="04A0" w:firstRow="1" w:lastRow="0" w:firstColumn="1" w:lastColumn="0" w:noHBand="0" w:noVBand="1"/>
      </w:tblPr>
      <w:tblGrid>
        <w:gridCol w:w="1559"/>
        <w:gridCol w:w="1134"/>
        <w:gridCol w:w="1117"/>
        <w:gridCol w:w="2298"/>
      </w:tblGrid>
      <w:tr w:rsidR="00E02DFB" w:rsidRPr="002B73DB" w14:paraId="4D2F87F6" w14:textId="77777777" w:rsidTr="00886A7A">
        <w:trPr>
          <w:trHeight w:val="329"/>
          <w:jc w:val="center"/>
        </w:trPr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3065BC6" w14:textId="02D0EC9D" w:rsidR="00E02DFB" w:rsidRPr="002B73DB" w:rsidRDefault="00A77DC8" w:rsidP="00886A7A">
            <w:pPr>
              <w:pStyle w:val="Tabelle"/>
            </w:pPr>
            <w:proofErr w:type="spellStart"/>
            <w:r>
              <w:t>setpoint</w:t>
            </w:r>
            <w:proofErr w:type="spellEnd"/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5FB809E" w14:textId="77777777" w:rsidR="00E02DFB" w:rsidRPr="002B73DB" w:rsidRDefault="00E02DFB" w:rsidP="00886A7A">
            <w:pPr>
              <w:pStyle w:val="Tabelle"/>
            </w:pPr>
            <w:r w:rsidRPr="002B73DB">
              <w:rPr>
                <w:i/>
              </w:rPr>
              <w:t>U/</w:t>
            </w:r>
            <w:proofErr w:type="spellStart"/>
            <w:r w:rsidRPr="002B73DB">
              <w:rPr>
                <w:i/>
              </w:rPr>
              <w:t>U</w:t>
            </w:r>
            <w:r w:rsidRPr="002B73DB">
              <w:rPr>
                <w:i/>
                <w:vertAlign w:val="subscript"/>
              </w:rPr>
              <w:t>n</w:t>
            </w:r>
            <w:proofErr w:type="spellEnd"/>
          </w:p>
        </w:tc>
        <w:tc>
          <w:tcPr>
            <w:tcW w:w="3415" w:type="dxa"/>
            <w:gridSpan w:val="2"/>
            <w:shd w:val="clear" w:color="auto" w:fill="D9D9D9" w:themeFill="background1" w:themeFillShade="D9"/>
            <w:vAlign w:val="center"/>
          </w:tcPr>
          <w:p w14:paraId="6C81DE06" w14:textId="77777777" w:rsidR="00E02DFB" w:rsidRPr="002B73DB" w:rsidRDefault="00E02DFB" w:rsidP="00886A7A">
            <w:pPr>
              <w:pStyle w:val="Tabelle"/>
            </w:pPr>
            <w:r w:rsidRPr="002B73DB">
              <w:rPr>
                <w:i/>
              </w:rPr>
              <w:t>Q/S</w:t>
            </w:r>
            <w:r w:rsidRPr="002B73DB">
              <w:rPr>
                <w:i/>
                <w:vertAlign w:val="subscript"/>
              </w:rPr>
              <w:t>r</w:t>
            </w:r>
          </w:p>
        </w:tc>
      </w:tr>
      <w:tr w:rsidR="00E02DFB" w:rsidRPr="002B73DB" w14:paraId="5A837840" w14:textId="77777777" w:rsidTr="00886A7A">
        <w:trPr>
          <w:trHeight w:val="329"/>
          <w:jc w:val="center"/>
        </w:trPr>
        <w:tc>
          <w:tcPr>
            <w:tcW w:w="1559" w:type="dxa"/>
            <w:vAlign w:val="center"/>
          </w:tcPr>
          <w:p w14:paraId="337FC4E8" w14:textId="77777777" w:rsidR="00E02DFB" w:rsidRPr="002B73DB" w:rsidRDefault="00E02DFB" w:rsidP="00886A7A">
            <w:pPr>
              <w:pStyle w:val="Tabelle"/>
            </w:pPr>
            <w:r w:rsidRPr="002B73DB">
              <w:t>a</w:t>
            </w:r>
          </w:p>
        </w:tc>
        <w:tc>
          <w:tcPr>
            <w:tcW w:w="1134" w:type="dxa"/>
            <w:vAlign w:val="center"/>
          </w:tcPr>
          <w:p w14:paraId="47B1B845" w14:textId="77777777" w:rsidR="00E02DFB" w:rsidRPr="002B73DB" w:rsidRDefault="00E02DFB" w:rsidP="00886A7A">
            <w:pPr>
              <w:pStyle w:val="Tabelle"/>
            </w:pPr>
            <w:r w:rsidRPr="002B73DB">
              <w:t xml:space="preserve">0,92 </w:t>
            </w:r>
            <w:proofErr w:type="spellStart"/>
            <w:r w:rsidRPr="002B73DB">
              <w:rPr>
                <w:i/>
              </w:rPr>
              <w:t>U</w:t>
            </w:r>
            <w:r w:rsidRPr="002B73DB">
              <w:rPr>
                <w:i/>
                <w:vertAlign w:val="subscript"/>
              </w:rPr>
              <w:t>n</w:t>
            </w:r>
            <w:proofErr w:type="spellEnd"/>
          </w:p>
        </w:tc>
        <w:tc>
          <w:tcPr>
            <w:tcW w:w="1117" w:type="dxa"/>
            <w:vAlign w:val="center"/>
          </w:tcPr>
          <w:p w14:paraId="07F70D8E" w14:textId="77777777" w:rsidR="00E02DFB" w:rsidRPr="002B73DB" w:rsidRDefault="00E02DFB" w:rsidP="00886A7A">
            <w:pPr>
              <w:pStyle w:val="Tabelle"/>
            </w:pPr>
            <w:r w:rsidRPr="002B73DB">
              <w:t>0,436</w:t>
            </w:r>
          </w:p>
        </w:tc>
        <w:tc>
          <w:tcPr>
            <w:tcW w:w="2298" w:type="dxa"/>
            <w:vAlign w:val="center"/>
          </w:tcPr>
          <w:p w14:paraId="2BCFB5F0" w14:textId="10CEF479" w:rsidR="00E02DFB" w:rsidRPr="002B73DB" w:rsidRDefault="00E02DFB" w:rsidP="00886A7A">
            <w:pPr>
              <w:pStyle w:val="Tabelle"/>
            </w:pPr>
            <w:r w:rsidRPr="002B73DB">
              <w:rPr>
                <w:i/>
              </w:rPr>
              <w:t xml:space="preserve">cos </w:t>
            </w:r>
            <w:r w:rsidRPr="002B73DB">
              <w:rPr>
                <w:i/>
              </w:rPr>
              <w:sym w:font="Symbol" w:char="F06A"/>
            </w:r>
            <w:r w:rsidRPr="002B73DB">
              <w:rPr>
                <w:i/>
              </w:rPr>
              <w:t xml:space="preserve"> </w:t>
            </w:r>
            <w:r w:rsidRPr="002B73DB">
              <w:t xml:space="preserve">= 0,9 </w:t>
            </w:r>
            <w:proofErr w:type="spellStart"/>
            <w:r>
              <w:t>over</w:t>
            </w:r>
            <w:proofErr w:type="spellEnd"/>
            <w:r w:rsidR="001136D7">
              <w:t xml:space="preserve"> </w:t>
            </w:r>
            <w:proofErr w:type="spellStart"/>
            <w:r>
              <w:t>excited</w:t>
            </w:r>
            <w:proofErr w:type="spellEnd"/>
          </w:p>
        </w:tc>
      </w:tr>
      <w:tr w:rsidR="00E02DFB" w:rsidRPr="002B73DB" w14:paraId="087A0DC2" w14:textId="77777777" w:rsidTr="00886A7A">
        <w:trPr>
          <w:trHeight w:val="329"/>
          <w:jc w:val="center"/>
        </w:trPr>
        <w:tc>
          <w:tcPr>
            <w:tcW w:w="1559" w:type="dxa"/>
            <w:vAlign w:val="center"/>
          </w:tcPr>
          <w:p w14:paraId="00A914B5" w14:textId="77777777" w:rsidR="00E02DFB" w:rsidRPr="002B73DB" w:rsidRDefault="00E02DFB" w:rsidP="00886A7A">
            <w:pPr>
              <w:pStyle w:val="Tabelle"/>
            </w:pPr>
            <w:r w:rsidRPr="002B73DB">
              <w:t>b</w:t>
            </w:r>
          </w:p>
        </w:tc>
        <w:tc>
          <w:tcPr>
            <w:tcW w:w="1134" w:type="dxa"/>
            <w:vAlign w:val="center"/>
          </w:tcPr>
          <w:p w14:paraId="718C14FB" w14:textId="77777777" w:rsidR="00E02DFB" w:rsidRPr="002B73DB" w:rsidRDefault="00E02DFB" w:rsidP="00886A7A">
            <w:pPr>
              <w:pStyle w:val="Tabelle"/>
            </w:pPr>
            <w:r w:rsidRPr="002B73DB">
              <w:t xml:space="preserve">0,96 </w:t>
            </w:r>
            <w:proofErr w:type="spellStart"/>
            <w:r w:rsidRPr="002B73DB">
              <w:rPr>
                <w:i/>
              </w:rPr>
              <w:t>U</w:t>
            </w:r>
            <w:r w:rsidRPr="002B73DB">
              <w:rPr>
                <w:i/>
                <w:vertAlign w:val="subscript"/>
              </w:rPr>
              <w:t>n</w:t>
            </w:r>
            <w:proofErr w:type="spellEnd"/>
          </w:p>
        </w:tc>
        <w:tc>
          <w:tcPr>
            <w:tcW w:w="1117" w:type="dxa"/>
            <w:vAlign w:val="center"/>
          </w:tcPr>
          <w:p w14:paraId="260DC7FD" w14:textId="77777777" w:rsidR="00E02DFB" w:rsidRPr="002B73DB" w:rsidRDefault="00E02DFB" w:rsidP="00886A7A">
            <w:pPr>
              <w:pStyle w:val="Tabelle"/>
            </w:pPr>
            <w:r w:rsidRPr="002B73DB">
              <w:t>0</w:t>
            </w:r>
          </w:p>
        </w:tc>
        <w:tc>
          <w:tcPr>
            <w:tcW w:w="2298" w:type="dxa"/>
            <w:vAlign w:val="center"/>
          </w:tcPr>
          <w:p w14:paraId="79BDFC04" w14:textId="77777777" w:rsidR="00E02DFB" w:rsidRPr="002B73DB" w:rsidRDefault="00E02DFB" w:rsidP="00886A7A">
            <w:pPr>
              <w:pStyle w:val="Tabelle"/>
            </w:pPr>
            <w:r w:rsidRPr="002B73DB">
              <w:rPr>
                <w:i/>
              </w:rPr>
              <w:t xml:space="preserve">cos </w:t>
            </w:r>
            <w:r w:rsidRPr="002B73DB">
              <w:rPr>
                <w:i/>
              </w:rPr>
              <w:sym w:font="Symbol" w:char="F06A"/>
            </w:r>
            <w:r w:rsidRPr="002B73DB">
              <w:t xml:space="preserve"> = 1</w:t>
            </w:r>
          </w:p>
        </w:tc>
      </w:tr>
      <w:tr w:rsidR="00E02DFB" w:rsidRPr="002B73DB" w14:paraId="72DAD261" w14:textId="77777777" w:rsidTr="00886A7A">
        <w:trPr>
          <w:trHeight w:val="329"/>
          <w:jc w:val="center"/>
        </w:trPr>
        <w:tc>
          <w:tcPr>
            <w:tcW w:w="1559" w:type="dxa"/>
            <w:vAlign w:val="center"/>
          </w:tcPr>
          <w:p w14:paraId="4D6E78F5" w14:textId="77777777" w:rsidR="00E02DFB" w:rsidRPr="002B73DB" w:rsidRDefault="00E02DFB" w:rsidP="00886A7A">
            <w:pPr>
              <w:pStyle w:val="Tabelle"/>
            </w:pPr>
            <w:r w:rsidRPr="002B73DB">
              <w:t>c</w:t>
            </w:r>
          </w:p>
        </w:tc>
        <w:tc>
          <w:tcPr>
            <w:tcW w:w="1134" w:type="dxa"/>
            <w:vAlign w:val="center"/>
          </w:tcPr>
          <w:p w14:paraId="222332A9" w14:textId="77777777" w:rsidR="00E02DFB" w:rsidRPr="002B73DB" w:rsidRDefault="00E02DFB" w:rsidP="00886A7A">
            <w:pPr>
              <w:pStyle w:val="Tabelle"/>
            </w:pPr>
            <w:r w:rsidRPr="002B73DB">
              <w:t xml:space="preserve">1,05 </w:t>
            </w:r>
            <w:proofErr w:type="spellStart"/>
            <w:r w:rsidRPr="002B73DB">
              <w:rPr>
                <w:i/>
              </w:rPr>
              <w:t>U</w:t>
            </w:r>
            <w:r w:rsidRPr="002B73DB">
              <w:rPr>
                <w:i/>
                <w:vertAlign w:val="subscript"/>
              </w:rPr>
              <w:t>n</w:t>
            </w:r>
            <w:proofErr w:type="spellEnd"/>
          </w:p>
        </w:tc>
        <w:tc>
          <w:tcPr>
            <w:tcW w:w="1117" w:type="dxa"/>
            <w:vAlign w:val="center"/>
          </w:tcPr>
          <w:p w14:paraId="3B5B4733" w14:textId="77777777" w:rsidR="00E02DFB" w:rsidRPr="002B73DB" w:rsidRDefault="00E02DFB" w:rsidP="00886A7A">
            <w:pPr>
              <w:pStyle w:val="Tabelle"/>
            </w:pPr>
            <w:r w:rsidRPr="002B73DB">
              <w:t>0</w:t>
            </w:r>
          </w:p>
        </w:tc>
        <w:tc>
          <w:tcPr>
            <w:tcW w:w="2298" w:type="dxa"/>
            <w:vAlign w:val="center"/>
          </w:tcPr>
          <w:p w14:paraId="37C74625" w14:textId="77777777" w:rsidR="00E02DFB" w:rsidRPr="002B73DB" w:rsidRDefault="00E02DFB" w:rsidP="00886A7A">
            <w:pPr>
              <w:pStyle w:val="Tabelle"/>
            </w:pPr>
            <w:r w:rsidRPr="002B73DB">
              <w:rPr>
                <w:i/>
              </w:rPr>
              <w:t xml:space="preserve">cos </w:t>
            </w:r>
            <w:r w:rsidRPr="002B73DB">
              <w:rPr>
                <w:i/>
              </w:rPr>
              <w:sym w:font="Symbol" w:char="F06A"/>
            </w:r>
            <w:r w:rsidRPr="002B73DB">
              <w:t xml:space="preserve"> = 1</w:t>
            </w:r>
          </w:p>
        </w:tc>
      </w:tr>
      <w:tr w:rsidR="00E02DFB" w:rsidRPr="002B73DB" w14:paraId="69DDABEE" w14:textId="77777777" w:rsidTr="00886A7A">
        <w:trPr>
          <w:trHeight w:val="329"/>
          <w:jc w:val="center"/>
        </w:trPr>
        <w:tc>
          <w:tcPr>
            <w:tcW w:w="1559" w:type="dxa"/>
            <w:vAlign w:val="center"/>
          </w:tcPr>
          <w:p w14:paraId="4FC5C461" w14:textId="77777777" w:rsidR="00E02DFB" w:rsidRPr="002B73DB" w:rsidRDefault="00E02DFB" w:rsidP="00886A7A">
            <w:pPr>
              <w:pStyle w:val="Tabelle"/>
            </w:pPr>
            <w:r w:rsidRPr="002B73DB">
              <w:t>d</w:t>
            </w:r>
          </w:p>
        </w:tc>
        <w:tc>
          <w:tcPr>
            <w:tcW w:w="1134" w:type="dxa"/>
            <w:vAlign w:val="center"/>
          </w:tcPr>
          <w:p w14:paraId="710BA1DD" w14:textId="77777777" w:rsidR="00E02DFB" w:rsidRPr="002B73DB" w:rsidRDefault="00E02DFB" w:rsidP="00886A7A">
            <w:pPr>
              <w:pStyle w:val="Tabelle"/>
            </w:pPr>
            <w:r w:rsidRPr="002B73DB">
              <w:t xml:space="preserve">1,08 </w:t>
            </w:r>
            <w:proofErr w:type="spellStart"/>
            <w:r w:rsidRPr="002B73DB">
              <w:rPr>
                <w:i/>
              </w:rPr>
              <w:t>U</w:t>
            </w:r>
            <w:r w:rsidRPr="002B73DB">
              <w:rPr>
                <w:i/>
                <w:vertAlign w:val="subscript"/>
              </w:rPr>
              <w:t>n</w:t>
            </w:r>
            <w:proofErr w:type="spellEnd"/>
          </w:p>
        </w:tc>
        <w:tc>
          <w:tcPr>
            <w:tcW w:w="1117" w:type="dxa"/>
            <w:vAlign w:val="center"/>
          </w:tcPr>
          <w:p w14:paraId="664D9950" w14:textId="77777777" w:rsidR="00E02DFB" w:rsidRPr="002B73DB" w:rsidRDefault="00E02DFB" w:rsidP="00886A7A">
            <w:pPr>
              <w:pStyle w:val="Tabelle"/>
            </w:pPr>
            <w:r w:rsidRPr="002B73DB">
              <w:t>-0,436</w:t>
            </w:r>
          </w:p>
        </w:tc>
        <w:tc>
          <w:tcPr>
            <w:tcW w:w="2298" w:type="dxa"/>
            <w:vAlign w:val="center"/>
          </w:tcPr>
          <w:p w14:paraId="49FF7FFB" w14:textId="6E85735C" w:rsidR="00E02DFB" w:rsidRPr="002B73DB" w:rsidRDefault="00E02DFB" w:rsidP="00886A7A">
            <w:pPr>
              <w:pStyle w:val="Tabelle"/>
            </w:pPr>
            <w:r w:rsidRPr="002B73DB">
              <w:rPr>
                <w:i/>
              </w:rPr>
              <w:t xml:space="preserve">cos </w:t>
            </w:r>
            <w:r w:rsidRPr="002B73DB">
              <w:rPr>
                <w:i/>
              </w:rPr>
              <w:sym w:font="Symbol" w:char="F06A"/>
            </w:r>
            <w:r w:rsidRPr="002B73DB">
              <w:t xml:space="preserve"> = 0,9 </w:t>
            </w:r>
            <w:proofErr w:type="spellStart"/>
            <w:r w:rsidR="00A77DC8">
              <w:t>under</w:t>
            </w:r>
            <w:proofErr w:type="spellEnd"/>
            <w:r w:rsidR="001136D7">
              <w:t xml:space="preserve"> </w:t>
            </w:r>
            <w:proofErr w:type="spellStart"/>
            <w:r w:rsidR="00A77DC8">
              <w:t>excited</w:t>
            </w:r>
            <w:proofErr w:type="spellEnd"/>
          </w:p>
        </w:tc>
      </w:tr>
    </w:tbl>
    <w:p w14:paraId="78FC7310" w14:textId="20E749A4" w:rsidR="00E02DFB" w:rsidRDefault="00E02DFB" w:rsidP="00E02DFB">
      <w:pPr>
        <w:pStyle w:val="berschrift3"/>
        <w:rPr>
          <w:lang w:val="en-GB"/>
        </w:rPr>
      </w:pPr>
      <w:r>
        <w:rPr>
          <w:lang w:val="en-GB"/>
        </w:rPr>
        <w:t>P(U)</w:t>
      </w:r>
    </w:p>
    <w:p w14:paraId="4BAB9E29" w14:textId="54D3A818" w:rsidR="00427A16" w:rsidRPr="00427A16" w:rsidRDefault="00427A16" w:rsidP="00427A16">
      <w:pPr>
        <w:rPr>
          <w:lang w:val="en-GB"/>
        </w:rPr>
      </w:pPr>
      <w:proofErr w:type="spellStart"/>
      <w:r>
        <w:rPr>
          <w:lang w:val="en-GB"/>
        </w:rPr>
        <w:t>Typ</w:t>
      </w:r>
      <w:proofErr w:type="spellEnd"/>
      <w:r>
        <w:rPr>
          <w:lang w:val="en-GB"/>
        </w:rPr>
        <w:t xml:space="preserve"> A power-generator modules shall be capable of providing active power with regard to U/</w:t>
      </w:r>
      <w:proofErr w:type="gramStart"/>
      <w:r>
        <w:rPr>
          <w:lang w:val="en-GB"/>
        </w:rPr>
        <w:t>U</w:t>
      </w:r>
      <w:r>
        <w:rPr>
          <w:vertAlign w:val="subscript"/>
          <w:lang w:val="en-GB"/>
        </w:rPr>
        <w:t>n</w:t>
      </w:r>
      <w:r>
        <w:rPr>
          <w:lang w:val="en-GB"/>
        </w:rPr>
        <w:t xml:space="preserve">  starting</w:t>
      </w:r>
      <w:proofErr w:type="gramEnd"/>
      <w:r>
        <w:rPr>
          <w:lang w:val="en-GB"/>
        </w:rPr>
        <w:t xml:space="preserve"> at 110% U</w:t>
      </w:r>
      <w:r>
        <w:rPr>
          <w:vertAlign w:val="subscript"/>
          <w:lang w:val="en-GB"/>
        </w:rPr>
        <w:t>n</w:t>
      </w:r>
      <w:r>
        <w:rPr>
          <w:lang w:val="en-GB"/>
        </w:rPr>
        <w:t>.</w:t>
      </w:r>
    </w:p>
    <w:p w14:paraId="014F30EE" w14:textId="13DCEC09" w:rsidR="00E02DFB" w:rsidRDefault="00E02DFB" w:rsidP="00E02DFB">
      <w:pPr>
        <w:rPr>
          <w:lang w:val="en-GB"/>
        </w:rPr>
      </w:pPr>
      <w:r>
        <w:rPr>
          <w:noProof/>
        </w:rPr>
        <w:lastRenderedPageBreak/>
        <w:drawing>
          <wp:inline distT="0" distB="0" distL="0" distR="0" wp14:anchorId="5614CD56" wp14:editId="06E92A74">
            <wp:extent cx="4962525" cy="1971675"/>
            <wp:effectExtent l="0" t="0" r="9525" b="952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609"/>
                    <a:stretch/>
                  </pic:blipFill>
                  <pic:spPr bwMode="auto">
                    <a:xfrm>
                      <a:off x="0" y="0"/>
                      <a:ext cx="496252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935F1BE" w14:textId="226788EB" w:rsidR="00525EAE" w:rsidRPr="00215128" w:rsidRDefault="00215128" w:rsidP="00A710E2">
      <w:pPr>
        <w:pStyle w:val="berschrift1"/>
      </w:pPr>
      <w:r w:rsidRPr="00E02DFB">
        <w:rPr>
          <w:lang w:val="de-AT"/>
        </w:rPr>
        <w:br w:type="page"/>
      </w:r>
      <w:bookmarkEnd w:id="3"/>
      <w:r w:rsidR="00525EAE" w:rsidRPr="00215128">
        <w:lastRenderedPageBreak/>
        <w:t>Amendment proposals for NC DCC</w:t>
      </w:r>
    </w:p>
    <w:p w14:paraId="625E65AC" w14:textId="100C024C" w:rsidR="00A710E2" w:rsidRDefault="00A710E2" w:rsidP="00A710E2">
      <w:pPr>
        <w:pStyle w:val="berschrift2"/>
        <w:rPr>
          <w:lang w:val="en-GB"/>
        </w:rPr>
      </w:pPr>
      <w:r>
        <w:rPr>
          <w:lang w:val="en-GB"/>
        </w:rPr>
        <w:t>Article 3</w:t>
      </w:r>
    </w:p>
    <w:p w14:paraId="2BC37495" w14:textId="214B573C" w:rsidR="00A710E2" w:rsidRPr="00A710E2" w:rsidRDefault="00A710E2" w:rsidP="00A710E2">
      <w:pPr>
        <w:rPr>
          <w:rFonts w:ascii="Arial" w:hAnsi="Arial" w:cs="Arial"/>
          <w:lang w:val="en-GB"/>
        </w:rPr>
      </w:pPr>
      <w:r w:rsidRPr="00A710E2">
        <w:rPr>
          <w:lang w:val="en-GB"/>
        </w:rPr>
        <w:t xml:space="preserve">Add </w:t>
      </w:r>
      <w:bookmarkStart w:id="4" w:name="_Hlk120519615"/>
      <w:r w:rsidRPr="00A710E2">
        <w:rPr>
          <w:rFonts w:ascii="Arial" w:hAnsi="Arial" w:cs="Arial"/>
          <w:lang w:val="en-GB"/>
        </w:rPr>
        <w:t>(c) demand facilities that part of other frequencies than 50 Hz and DC-current (e. g. 16.7 Hz power supply systems) that not connected on the synchronous area (e. g. static converter stations</w:t>
      </w:r>
      <w:bookmarkEnd w:id="4"/>
      <w:r w:rsidRPr="00A710E2">
        <w:rPr>
          <w:rFonts w:ascii="Arial" w:hAnsi="Arial" w:cs="Arial"/>
          <w:lang w:val="en-GB"/>
        </w:rPr>
        <w:t>)  </w:t>
      </w:r>
    </w:p>
    <w:p w14:paraId="46C1D016" w14:textId="77777777" w:rsidR="00A710E2" w:rsidRDefault="00A710E2" w:rsidP="00A710E2">
      <w:pPr>
        <w:rPr>
          <w:b/>
          <w:bCs/>
          <w:lang w:val="en-GB"/>
        </w:rPr>
      </w:pPr>
    </w:p>
    <w:p w14:paraId="08186ABC" w14:textId="43B30B35" w:rsidR="00A710E2" w:rsidRPr="00A710E2" w:rsidRDefault="00A710E2" w:rsidP="00A710E2">
      <w:pPr>
        <w:rPr>
          <w:b/>
          <w:bCs/>
          <w:lang w:val="en-GB"/>
        </w:rPr>
      </w:pPr>
      <w:r w:rsidRPr="00A710E2">
        <w:rPr>
          <w:b/>
          <w:bCs/>
          <w:lang w:val="en-GB"/>
        </w:rPr>
        <w:t>Reasoning</w:t>
      </w:r>
    </w:p>
    <w:p w14:paraId="30619C53" w14:textId="4FE56FB5" w:rsidR="00A710E2" w:rsidRPr="00A710E2" w:rsidRDefault="00A710E2" w:rsidP="00A710E2">
      <w:pPr>
        <w:rPr>
          <w:lang w:val="en-GB"/>
        </w:rPr>
      </w:pPr>
      <w:r w:rsidRPr="00A710E2">
        <w:rPr>
          <w:lang w:val="en-GB"/>
        </w:rPr>
        <w:t xml:space="preserve">16.7 Hz power supply system does not operate synchronously with the synchronous area  </w:t>
      </w:r>
    </w:p>
    <w:p w14:paraId="3587D440" w14:textId="0F854E45" w:rsidR="00525EAE" w:rsidRDefault="00525EAE" w:rsidP="00525EAE">
      <w:pPr>
        <w:pStyle w:val="berschrift2"/>
        <w:rPr>
          <w:lang w:val="en-GB"/>
        </w:rPr>
      </w:pPr>
      <w:r w:rsidRPr="00525EAE">
        <w:rPr>
          <w:lang w:val="en-GB"/>
        </w:rPr>
        <w:t xml:space="preserve">Short-circuit requirements </w:t>
      </w:r>
      <w:r>
        <w:rPr>
          <w:lang w:val="en-GB"/>
        </w:rPr>
        <w:t>(thresholds)</w:t>
      </w:r>
    </w:p>
    <w:p w14:paraId="3FF61CF9" w14:textId="0FDD5AC4" w:rsidR="000E1C79" w:rsidRDefault="00525EAE" w:rsidP="00AC4769">
      <w:pPr>
        <w:spacing w:after="120"/>
        <w:rPr>
          <w:lang w:val="en-US"/>
        </w:rPr>
      </w:pPr>
      <w:r w:rsidRPr="00525EAE">
        <w:rPr>
          <w:lang w:val="en-US"/>
        </w:rPr>
        <w:t>The issue found in the current requirements</w:t>
      </w:r>
      <w:r>
        <w:rPr>
          <w:lang w:val="en-US"/>
        </w:rPr>
        <w:t xml:space="preserve"> of Article 14 NC DCC</w:t>
      </w:r>
      <w:r w:rsidRPr="00525EAE">
        <w:rPr>
          <w:lang w:val="en-US"/>
        </w:rPr>
        <w:t xml:space="preserve"> is a lack of clarity with </w:t>
      </w:r>
      <w:r>
        <w:rPr>
          <w:lang w:val="en-US"/>
        </w:rPr>
        <w:t xml:space="preserve">the </w:t>
      </w:r>
      <w:r w:rsidRPr="00525EAE">
        <w:rPr>
          <w:lang w:val="en-US"/>
        </w:rPr>
        <w:t xml:space="preserve">risk that the requirement is not implement coherently </w:t>
      </w:r>
      <w:r>
        <w:rPr>
          <w:lang w:val="en-US"/>
        </w:rPr>
        <w:t xml:space="preserve">in each EU member state. Furthermore, </w:t>
      </w:r>
      <w:r w:rsidRPr="00525EAE">
        <w:rPr>
          <w:lang w:val="en-US"/>
        </w:rPr>
        <w:t>ineffective case-by-case discussion</w:t>
      </w:r>
      <w:r>
        <w:rPr>
          <w:lang w:val="en-US"/>
        </w:rPr>
        <w:t>s</w:t>
      </w:r>
      <w:r w:rsidRPr="00525EAE">
        <w:rPr>
          <w:lang w:val="en-US"/>
        </w:rPr>
        <w:t xml:space="preserve"> or legal dispute </w:t>
      </w:r>
      <w:r>
        <w:rPr>
          <w:lang w:val="en-US"/>
        </w:rPr>
        <w:t>may be</w:t>
      </w:r>
      <w:r w:rsidRPr="00525EAE">
        <w:rPr>
          <w:lang w:val="en-US"/>
        </w:rPr>
        <w:t xml:space="preserve"> triggered </w:t>
      </w:r>
      <w:r>
        <w:rPr>
          <w:lang w:val="en-US"/>
        </w:rPr>
        <w:t>in case of new or substantially changed</w:t>
      </w:r>
      <w:r w:rsidRPr="00525EAE">
        <w:rPr>
          <w:lang w:val="en-US"/>
        </w:rPr>
        <w:t xml:space="preserve"> connection</w:t>
      </w:r>
      <w:r>
        <w:rPr>
          <w:lang w:val="en-US"/>
        </w:rPr>
        <w:t>s</w:t>
      </w:r>
      <w:r w:rsidRPr="00525EAE">
        <w:rPr>
          <w:lang w:val="en-US"/>
        </w:rPr>
        <w:t>.</w:t>
      </w:r>
    </w:p>
    <w:p w14:paraId="7296F4FB" w14:textId="17FCEBEB" w:rsidR="00771CE2" w:rsidRDefault="00771CE2" w:rsidP="00771CE2">
      <w:pPr>
        <w:rPr>
          <w:b/>
          <w:lang w:val="en-GB"/>
        </w:rPr>
      </w:pPr>
      <w:proofErr w:type="spellStart"/>
      <w:r w:rsidRPr="00186BEC">
        <w:rPr>
          <w:b/>
          <w:lang w:val="en-GB"/>
        </w:rPr>
        <w:t>Oesterreichs</w:t>
      </w:r>
      <w:proofErr w:type="spellEnd"/>
      <w:r w:rsidRPr="00186BEC">
        <w:rPr>
          <w:b/>
          <w:lang w:val="en-GB"/>
        </w:rPr>
        <w:t xml:space="preserve"> </w:t>
      </w:r>
      <w:proofErr w:type="spellStart"/>
      <w:r w:rsidRPr="00186BEC">
        <w:rPr>
          <w:b/>
          <w:lang w:val="en-GB"/>
        </w:rPr>
        <w:t>Energie</w:t>
      </w:r>
      <w:proofErr w:type="spellEnd"/>
      <w:r w:rsidRPr="00186BEC">
        <w:rPr>
          <w:b/>
          <w:lang w:val="en-GB"/>
        </w:rPr>
        <w:t xml:space="preserve"> therefore proposes to </w:t>
      </w:r>
      <w:r>
        <w:rPr>
          <w:b/>
          <w:lang w:val="en-GB"/>
        </w:rPr>
        <w:t>delete Article 14 in a future version of NC DCC</w:t>
      </w:r>
      <w:r w:rsidRPr="00186BEC">
        <w:rPr>
          <w:b/>
          <w:lang w:val="en-GB"/>
        </w:rPr>
        <w:t>.</w:t>
      </w:r>
    </w:p>
    <w:p w14:paraId="39EFD6F6" w14:textId="77777777" w:rsidR="00771CE2" w:rsidRPr="00771CE2" w:rsidRDefault="00771CE2" w:rsidP="00AC4769">
      <w:pPr>
        <w:spacing w:after="120"/>
        <w:rPr>
          <w:lang w:val="en-GB"/>
        </w:rPr>
      </w:pPr>
    </w:p>
    <w:sectPr w:rsidR="00771CE2" w:rsidRPr="00771CE2" w:rsidSect="002740E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type w:val="continuous"/>
      <w:pgSz w:w="11906" w:h="16838" w:code="9"/>
      <w:pgMar w:top="2268" w:right="567" w:bottom="1418" w:left="1418" w:header="45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4FABC" w14:textId="77777777" w:rsidR="005B0E0C" w:rsidRDefault="005B0E0C" w:rsidP="00E30D13">
      <w:pPr>
        <w:spacing w:line="240" w:lineRule="auto"/>
      </w:pPr>
      <w:r>
        <w:separator/>
      </w:r>
    </w:p>
  </w:endnote>
  <w:endnote w:type="continuationSeparator" w:id="0">
    <w:p w14:paraId="6DE8D203" w14:textId="77777777" w:rsidR="005B0E0C" w:rsidRDefault="005B0E0C" w:rsidP="00E30D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5A3C0" w14:textId="77777777" w:rsidR="0094070D" w:rsidRPr="00744160" w:rsidRDefault="0094070D" w:rsidP="00744160">
    <w:pPr>
      <w:pStyle w:val="FuzeileS1"/>
      <w:tabs>
        <w:tab w:val="left" w:pos="6150"/>
        <w:tab w:val="right" w:pos="9070"/>
      </w:tabs>
      <w:spacing w:before="0"/>
      <w:jc w:val="left"/>
    </w:pPr>
    <w:r w:rsidRPr="005D2146">
      <w:rPr>
        <w:lang w:eastAsia="de-AT"/>
      </w:rPr>
      <mc:AlternateContent>
        <mc:Choice Requires="wps">
          <w:drawing>
            <wp:anchor distT="45720" distB="45720" distL="114300" distR="114300" simplePos="0" relativeHeight="251659264" behindDoc="1" locked="1" layoutInCell="1" allowOverlap="1" wp14:anchorId="06C3D5CA" wp14:editId="21ED5597">
              <wp:simplePos x="0" y="0"/>
              <wp:positionH relativeFrom="column">
                <wp:posOffset>3255645</wp:posOffset>
              </wp:positionH>
              <wp:positionV relativeFrom="page">
                <wp:posOffset>10149840</wp:posOffset>
              </wp:positionV>
              <wp:extent cx="3052800" cy="144000"/>
              <wp:effectExtent l="0" t="0" r="0" b="8890"/>
              <wp:wrapNone/>
              <wp:docPr id="3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52800" cy="144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BA71DD" w14:textId="0B025C2A" w:rsidR="0094070D" w:rsidRPr="00B248C8" w:rsidRDefault="0094070D" w:rsidP="00744160">
                          <w:pPr>
                            <w:pStyle w:val="FuzeileAdresse"/>
                            <w:jc w:val="right"/>
                            <w:rPr>
                              <w:lang w:val="de-DE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SAVEDATE  \@ "dd.MM.yyyy"  \* MERGEFORMAT </w:instrText>
                          </w:r>
                          <w:r>
                            <w:fldChar w:fldCharType="separate"/>
                          </w:r>
                          <w:r w:rsidR="00101D0B">
                            <w:rPr>
                              <w:noProof/>
                            </w:rPr>
                            <w:t>24.10.2022</w:t>
                          </w:r>
                          <w:r>
                            <w:fldChar w:fldCharType="end"/>
                          </w:r>
                          <w:r>
                            <w:t xml:space="preserve">, </w:t>
                          </w:r>
                          <w:proofErr w:type="spellStart"/>
                          <w:r w:rsidRPr="00B248C8">
                            <w:t>Oesterreichs</w:t>
                          </w:r>
                          <w:proofErr w:type="spellEnd"/>
                          <w:r w:rsidRPr="00B248C8">
                            <w:t xml:space="preserve"> Energie  </w:t>
                          </w:r>
                          <w:r w:rsidRPr="00CC36A4">
                            <w:rPr>
                              <w:bCs/>
                            </w:rPr>
                            <w:fldChar w:fldCharType="begin"/>
                          </w:r>
                          <w:r w:rsidRPr="00CC36A4">
                            <w:rPr>
                              <w:bCs/>
                            </w:rPr>
                            <w:instrText>PAGE  \* Arabic  \* MERGEFORMAT</w:instrText>
                          </w:r>
                          <w:r w:rsidRPr="00CC36A4">
                            <w:rPr>
                              <w:bCs/>
                            </w:rPr>
                            <w:fldChar w:fldCharType="separate"/>
                          </w:r>
                          <w:r w:rsidR="00E22CF3">
                            <w:rPr>
                              <w:bCs/>
                              <w:noProof/>
                            </w:rPr>
                            <w:t>15</w:t>
                          </w:r>
                          <w:r w:rsidRPr="00CC36A4">
                            <w:rPr>
                              <w:bCs/>
                            </w:rPr>
                            <w:fldChar w:fldCharType="end"/>
                          </w:r>
                          <w:r w:rsidRPr="00CC36A4">
                            <w:rPr>
                              <w:lang w:val="de-DE"/>
                            </w:rPr>
                            <w:t>/</w:t>
                          </w:r>
                          <w:r w:rsidRPr="00CC36A4">
                            <w:rPr>
                              <w:bCs/>
                            </w:rPr>
                            <w:fldChar w:fldCharType="begin"/>
                          </w:r>
                          <w:r w:rsidRPr="00CC36A4">
                            <w:rPr>
                              <w:bCs/>
                            </w:rPr>
                            <w:instrText>NUMPAGES  \* Arabic  \* MERGEFORMAT</w:instrText>
                          </w:r>
                          <w:r w:rsidRPr="00CC36A4">
                            <w:rPr>
                              <w:bCs/>
                            </w:rPr>
                            <w:fldChar w:fldCharType="separate"/>
                          </w:r>
                          <w:r w:rsidR="00E22CF3">
                            <w:rPr>
                              <w:bCs/>
                              <w:noProof/>
                            </w:rPr>
                            <w:t>35</w:t>
                          </w:r>
                          <w:r w:rsidRPr="00CC36A4">
                            <w:rPr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C3D5CA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256.35pt;margin-top:799.2pt;width:240.4pt;height:11.3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" filled="f" stroked="f">
              <v:textbox inset="0,0,0,0">
                <w:txbxContent>
                  <w:p w14:paraId="6ABA71DD" w14:textId="0B025C2A" w:rsidR="0094070D" w:rsidRPr="00B248C8" w:rsidRDefault="0094070D" w:rsidP="00744160">
                    <w:pPr>
                      <w:pStyle w:val="FuzeileAdresse"/>
                      <w:jc w:val="right"/>
                      <w:rPr>
                        <w:lang w:val="de-DE"/>
                      </w:rPr>
                    </w:pPr>
                    <w:r>
                      <w:fldChar w:fldCharType="begin"/>
                    </w:r>
                    <w:r>
                      <w:instrText xml:space="preserve"> SAVEDATE  \@ "dd.MM.yyyy"  \* MERGEFORMAT </w:instrText>
                    </w:r>
                    <w:r>
                      <w:fldChar w:fldCharType="separate"/>
                    </w:r>
                    <w:r w:rsidR="00101D0B">
                      <w:rPr>
                        <w:noProof/>
                      </w:rPr>
                      <w:t>24.10.2022</w:t>
                    </w:r>
                    <w:r>
                      <w:fldChar w:fldCharType="end"/>
                    </w:r>
                    <w:r>
                      <w:t xml:space="preserve">, </w:t>
                    </w:r>
                    <w:proofErr w:type="spellStart"/>
                    <w:r w:rsidRPr="00B248C8">
                      <w:t>Oesterreichs</w:t>
                    </w:r>
                    <w:proofErr w:type="spellEnd"/>
                    <w:r w:rsidRPr="00B248C8">
                      <w:t xml:space="preserve"> Energie  </w:t>
                    </w:r>
                    <w:r w:rsidRPr="00CC36A4">
                      <w:rPr>
                        <w:bCs/>
                      </w:rPr>
                      <w:fldChar w:fldCharType="begin"/>
                    </w:r>
                    <w:r w:rsidRPr="00CC36A4">
                      <w:rPr>
                        <w:bCs/>
                      </w:rPr>
                      <w:instrText>PAGE  \* Arabic  \* MERGEFORMAT</w:instrText>
                    </w:r>
                    <w:r w:rsidRPr="00CC36A4">
                      <w:rPr>
                        <w:bCs/>
                      </w:rPr>
                      <w:fldChar w:fldCharType="separate"/>
                    </w:r>
                    <w:r w:rsidR="00E22CF3">
                      <w:rPr>
                        <w:bCs/>
                        <w:noProof/>
                      </w:rPr>
                      <w:t>15</w:t>
                    </w:r>
                    <w:r w:rsidRPr="00CC36A4">
                      <w:rPr>
                        <w:bCs/>
                      </w:rPr>
                      <w:fldChar w:fldCharType="end"/>
                    </w:r>
                    <w:r w:rsidRPr="00CC36A4">
                      <w:rPr>
                        <w:lang w:val="de-DE"/>
                      </w:rPr>
                      <w:t>/</w:t>
                    </w:r>
                    <w:r w:rsidRPr="00CC36A4">
                      <w:rPr>
                        <w:bCs/>
                      </w:rPr>
                      <w:fldChar w:fldCharType="begin"/>
                    </w:r>
                    <w:r w:rsidRPr="00CC36A4">
                      <w:rPr>
                        <w:bCs/>
                      </w:rPr>
                      <w:instrText>NUMPAGES  \* Arabic  \* MERGEFORMAT</w:instrText>
                    </w:r>
                    <w:r w:rsidRPr="00CC36A4">
                      <w:rPr>
                        <w:bCs/>
                      </w:rPr>
                      <w:fldChar w:fldCharType="separate"/>
                    </w:r>
                    <w:r w:rsidR="00E22CF3">
                      <w:rPr>
                        <w:bCs/>
                        <w:noProof/>
                      </w:rPr>
                      <w:t>35</w:t>
                    </w:r>
                    <w:r w:rsidRPr="00CC36A4">
                      <w:rPr>
                        <w:bCs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7FCBE" w14:textId="77777777" w:rsidR="0094070D" w:rsidRPr="004C2321" w:rsidRDefault="0094070D" w:rsidP="00744160">
    <w:pPr>
      <w:pStyle w:val="FuzeileS1"/>
      <w:tabs>
        <w:tab w:val="left" w:pos="6150"/>
        <w:tab w:val="right" w:pos="9070"/>
      </w:tabs>
      <w:spacing w:before="0"/>
      <w:jc w:val="left"/>
    </w:pPr>
    <w:r w:rsidRPr="005D2146">
      <w:rPr>
        <w:lang w:eastAsia="de-AT"/>
      </w:rPr>
      <mc:AlternateContent>
        <mc:Choice Requires="wps">
          <w:drawing>
            <wp:anchor distT="45720" distB="45720" distL="114300" distR="114300" simplePos="0" relativeHeight="251655168" behindDoc="1" locked="1" layoutInCell="1" allowOverlap="1" wp14:anchorId="28F945F8" wp14:editId="7DFDF2D6">
              <wp:simplePos x="0" y="0"/>
              <wp:positionH relativeFrom="column">
                <wp:posOffset>3255645</wp:posOffset>
              </wp:positionH>
              <wp:positionV relativeFrom="page">
                <wp:posOffset>10149840</wp:posOffset>
              </wp:positionV>
              <wp:extent cx="3052800" cy="144000"/>
              <wp:effectExtent l="0" t="0" r="0" b="8890"/>
              <wp:wrapNone/>
              <wp:docPr id="13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52800" cy="144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3B2B0D" w14:textId="688F4A70" w:rsidR="0094070D" w:rsidRPr="002A6C69" w:rsidRDefault="002A6C69" w:rsidP="004901FA">
                          <w:pPr>
                            <w:pStyle w:val="FuzeileAdresse"/>
                            <w:jc w:val="right"/>
                            <w:rPr>
                              <w:lang w:val="en-GB"/>
                            </w:rPr>
                          </w:pPr>
                          <w:r w:rsidRPr="002A6C69">
                            <w:rPr>
                              <w:lang w:val="en-GB"/>
                            </w:rPr>
                            <w:t>October</w:t>
                          </w:r>
                          <w:r w:rsidR="0094070D" w:rsidRPr="002A6C69">
                            <w:rPr>
                              <w:lang w:val="en-GB"/>
                            </w:rPr>
                            <w:t xml:space="preserve"> 2022, </w:t>
                          </w:r>
                          <w:proofErr w:type="spellStart"/>
                          <w:r w:rsidR="0094070D" w:rsidRPr="002A6C69">
                            <w:rPr>
                              <w:lang w:val="en-GB"/>
                            </w:rPr>
                            <w:t>Oesterreichs</w:t>
                          </w:r>
                          <w:proofErr w:type="spellEnd"/>
                          <w:r w:rsidR="0094070D" w:rsidRPr="002A6C69">
                            <w:rPr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="0094070D" w:rsidRPr="002A6C69">
                            <w:rPr>
                              <w:lang w:val="en-GB"/>
                            </w:rPr>
                            <w:t>Energie</w:t>
                          </w:r>
                          <w:proofErr w:type="spellEnd"/>
                          <w:r w:rsidR="0094070D" w:rsidRPr="002A6C69">
                            <w:rPr>
                              <w:lang w:val="en-GB"/>
                            </w:rPr>
                            <w:t xml:space="preserve">  </w:t>
                          </w:r>
                          <w:r w:rsidR="0094070D" w:rsidRPr="002A6C69">
                            <w:rPr>
                              <w:bCs/>
                              <w:lang w:val="en-GB"/>
                            </w:rPr>
                            <w:fldChar w:fldCharType="begin"/>
                          </w:r>
                          <w:r w:rsidR="0094070D" w:rsidRPr="002A6C69">
                            <w:rPr>
                              <w:bCs/>
                              <w:lang w:val="en-GB"/>
                            </w:rPr>
                            <w:instrText>PAGE  \* Arabic  \* MERGEFORMAT</w:instrText>
                          </w:r>
                          <w:r w:rsidR="0094070D" w:rsidRPr="002A6C69">
                            <w:rPr>
                              <w:bCs/>
                              <w:lang w:val="en-GB"/>
                            </w:rPr>
                            <w:fldChar w:fldCharType="separate"/>
                          </w:r>
                          <w:r w:rsidR="00512EF9">
                            <w:rPr>
                              <w:bCs/>
                              <w:noProof/>
                              <w:lang w:val="en-GB"/>
                            </w:rPr>
                            <w:t>6</w:t>
                          </w:r>
                          <w:r w:rsidR="0094070D" w:rsidRPr="002A6C69">
                            <w:rPr>
                              <w:bCs/>
                              <w:lang w:val="en-GB"/>
                            </w:rPr>
                            <w:fldChar w:fldCharType="end"/>
                          </w:r>
                          <w:r w:rsidR="0094070D" w:rsidRPr="002A6C69">
                            <w:rPr>
                              <w:lang w:val="en-GB"/>
                            </w:rPr>
                            <w:t>/</w:t>
                          </w:r>
                          <w:r w:rsidR="0094070D" w:rsidRPr="002A6C69">
                            <w:rPr>
                              <w:bCs/>
                              <w:lang w:val="en-GB"/>
                            </w:rPr>
                            <w:fldChar w:fldCharType="begin"/>
                          </w:r>
                          <w:r w:rsidR="0094070D" w:rsidRPr="002A6C69">
                            <w:rPr>
                              <w:bCs/>
                              <w:lang w:val="en-GB"/>
                            </w:rPr>
                            <w:instrText>NUMPAGES  \* Arabic  \* MERGEFORMAT</w:instrText>
                          </w:r>
                          <w:r w:rsidR="0094070D" w:rsidRPr="002A6C69">
                            <w:rPr>
                              <w:bCs/>
                              <w:lang w:val="en-GB"/>
                            </w:rPr>
                            <w:fldChar w:fldCharType="separate"/>
                          </w:r>
                          <w:r w:rsidR="00512EF9">
                            <w:rPr>
                              <w:bCs/>
                              <w:noProof/>
                              <w:lang w:val="en-GB"/>
                            </w:rPr>
                            <w:t>6</w:t>
                          </w:r>
                          <w:r w:rsidR="0094070D" w:rsidRPr="002A6C69">
                            <w:rPr>
                              <w:bCs/>
                              <w:lang w:val="en-GB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F945F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56.35pt;margin-top:799.2pt;width:240.4pt;height:11.35pt;z-index:-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" filled="f" stroked="f">
              <v:textbox inset="0,0,0,0">
                <w:txbxContent>
                  <w:p w14:paraId="143B2B0D" w14:textId="688F4A70" w:rsidR="0094070D" w:rsidRPr="002A6C69" w:rsidRDefault="002A6C69" w:rsidP="004901FA">
                    <w:pPr>
                      <w:pStyle w:val="FuzeileAdresse"/>
                      <w:jc w:val="right"/>
                      <w:rPr>
                        <w:lang w:val="en-GB"/>
                      </w:rPr>
                    </w:pPr>
                    <w:r w:rsidRPr="002A6C69">
                      <w:rPr>
                        <w:lang w:val="en-GB"/>
                      </w:rPr>
                      <w:t>October</w:t>
                    </w:r>
                    <w:r w:rsidR="0094070D" w:rsidRPr="002A6C69">
                      <w:rPr>
                        <w:lang w:val="en-GB"/>
                      </w:rPr>
                      <w:t xml:space="preserve"> 2022, </w:t>
                    </w:r>
                    <w:proofErr w:type="spellStart"/>
                    <w:r w:rsidR="0094070D" w:rsidRPr="002A6C69">
                      <w:rPr>
                        <w:lang w:val="en-GB"/>
                      </w:rPr>
                      <w:t>Oesterreichs</w:t>
                    </w:r>
                    <w:proofErr w:type="spellEnd"/>
                    <w:r w:rsidR="0094070D" w:rsidRPr="002A6C69">
                      <w:rPr>
                        <w:lang w:val="en-GB"/>
                      </w:rPr>
                      <w:t xml:space="preserve"> </w:t>
                    </w:r>
                    <w:proofErr w:type="spellStart"/>
                    <w:r w:rsidR="0094070D" w:rsidRPr="002A6C69">
                      <w:rPr>
                        <w:lang w:val="en-GB"/>
                      </w:rPr>
                      <w:t>Energie</w:t>
                    </w:r>
                    <w:proofErr w:type="spellEnd"/>
                    <w:r w:rsidR="0094070D" w:rsidRPr="002A6C69">
                      <w:rPr>
                        <w:lang w:val="en-GB"/>
                      </w:rPr>
                      <w:t xml:space="preserve">  </w:t>
                    </w:r>
                    <w:r w:rsidR="0094070D" w:rsidRPr="002A6C69">
                      <w:rPr>
                        <w:bCs/>
                        <w:lang w:val="en-GB"/>
                      </w:rPr>
                      <w:fldChar w:fldCharType="begin"/>
                    </w:r>
                    <w:r w:rsidR="0094070D" w:rsidRPr="002A6C69">
                      <w:rPr>
                        <w:bCs/>
                        <w:lang w:val="en-GB"/>
                      </w:rPr>
                      <w:instrText>PAGE  \* Arabic  \* MERGEFORMAT</w:instrText>
                    </w:r>
                    <w:r w:rsidR="0094070D" w:rsidRPr="002A6C69">
                      <w:rPr>
                        <w:bCs/>
                        <w:lang w:val="en-GB"/>
                      </w:rPr>
                      <w:fldChar w:fldCharType="separate"/>
                    </w:r>
                    <w:r w:rsidR="00512EF9">
                      <w:rPr>
                        <w:bCs/>
                        <w:noProof/>
                        <w:lang w:val="en-GB"/>
                      </w:rPr>
                      <w:t>6</w:t>
                    </w:r>
                    <w:r w:rsidR="0094070D" w:rsidRPr="002A6C69">
                      <w:rPr>
                        <w:bCs/>
                        <w:lang w:val="en-GB"/>
                      </w:rPr>
                      <w:fldChar w:fldCharType="end"/>
                    </w:r>
                    <w:r w:rsidR="0094070D" w:rsidRPr="002A6C69">
                      <w:rPr>
                        <w:lang w:val="en-GB"/>
                      </w:rPr>
                      <w:t>/</w:t>
                    </w:r>
                    <w:r w:rsidR="0094070D" w:rsidRPr="002A6C69">
                      <w:rPr>
                        <w:bCs/>
                        <w:lang w:val="en-GB"/>
                      </w:rPr>
                      <w:fldChar w:fldCharType="begin"/>
                    </w:r>
                    <w:r w:rsidR="0094070D" w:rsidRPr="002A6C69">
                      <w:rPr>
                        <w:bCs/>
                        <w:lang w:val="en-GB"/>
                      </w:rPr>
                      <w:instrText>NUMPAGES  \* Arabic  \* MERGEFORMAT</w:instrText>
                    </w:r>
                    <w:r w:rsidR="0094070D" w:rsidRPr="002A6C69">
                      <w:rPr>
                        <w:bCs/>
                        <w:lang w:val="en-GB"/>
                      </w:rPr>
                      <w:fldChar w:fldCharType="separate"/>
                    </w:r>
                    <w:r w:rsidR="00512EF9">
                      <w:rPr>
                        <w:bCs/>
                        <w:noProof/>
                        <w:lang w:val="en-GB"/>
                      </w:rPr>
                      <w:t>6</w:t>
                    </w:r>
                    <w:r w:rsidR="0094070D" w:rsidRPr="002A6C69">
                      <w:rPr>
                        <w:bCs/>
                        <w:lang w:val="en-GB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0187F" w14:textId="77777777" w:rsidR="005B0E0C" w:rsidRDefault="005B0E0C" w:rsidP="00E30D13">
      <w:pPr>
        <w:spacing w:line="240" w:lineRule="auto"/>
      </w:pPr>
      <w:r>
        <w:separator/>
      </w:r>
    </w:p>
  </w:footnote>
  <w:footnote w:type="continuationSeparator" w:id="0">
    <w:p w14:paraId="55AFFC79" w14:textId="77777777" w:rsidR="005B0E0C" w:rsidRDefault="005B0E0C" w:rsidP="00E30D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C9516" w14:textId="77777777" w:rsidR="0094070D" w:rsidRPr="00744160" w:rsidRDefault="0094070D" w:rsidP="00744160">
    <w:pPr>
      <w:jc w:val="right"/>
    </w:pPr>
    <w:r>
      <w:rPr>
        <w:noProof/>
        <w:lang w:eastAsia="de-AT"/>
      </w:rPr>
      <w:drawing>
        <wp:inline distT="0" distB="0" distL="0" distR="0" wp14:anchorId="52AB849F" wp14:editId="190BBA08">
          <wp:extent cx="2197100" cy="522605"/>
          <wp:effectExtent l="0" t="0" r="0" b="0"/>
          <wp:docPr id="4" name="Picture 1" descr="OE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EE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7100" cy="522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08222" w14:textId="77777777" w:rsidR="0094070D" w:rsidRDefault="0094070D" w:rsidP="00D6382E">
    <w:pPr>
      <w:jc w:val="right"/>
    </w:pPr>
    <w:r>
      <w:rPr>
        <w:noProof/>
        <w:lang w:eastAsia="de-AT"/>
      </w:rPr>
      <w:drawing>
        <wp:inline distT="0" distB="0" distL="0" distR="0" wp14:anchorId="71EC7874" wp14:editId="17D5F926">
          <wp:extent cx="2197100" cy="522605"/>
          <wp:effectExtent l="0" t="0" r="0" b="0"/>
          <wp:docPr id="1" name="Picture 1" descr="OE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EE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7100" cy="522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B5393" w14:textId="77777777" w:rsidR="0094070D" w:rsidRDefault="0094070D" w:rsidP="00DA7862">
    <w:pPr>
      <w:pStyle w:val="Kopfzeile"/>
      <w:jc w:val="right"/>
    </w:pPr>
    <w:r>
      <w:rPr>
        <w:noProof/>
        <w:lang w:eastAsia="de-AT"/>
      </w:rPr>
      <w:drawing>
        <wp:anchor distT="0" distB="0" distL="114300" distR="114300" simplePos="0" relativeHeight="251664384" behindDoc="1" locked="1" layoutInCell="1" allowOverlap="1" wp14:anchorId="125A0158" wp14:editId="21F23B5A">
          <wp:simplePos x="0" y="0"/>
          <wp:positionH relativeFrom="page">
            <wp:posOffset>360045</wp:posOffset>
          </wp:positionH>
          <wp:positionV relativeFrom="page">
            <wp:align>outside</wp:align>
          </wp:positionV>
          <wp:extent cx="6840000" cy="8895600"/>
          <wp:effectExtent l="0" t="0" r="0" b="127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eckblatt_Bil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000" cy="88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AT"/>
      </w:rPr>
      <w:drawing>
        <wp:inline distT="0" distB="0" distL="0" distR="0" wp14:anchorId="64DBAFE1" wp14:editId="5AF72FD1">
          <wp:extent cx="2197100" cy="522605"/>
          <wp:effectExtent l="0" t="0" r="0" b="0"/>
          <wp:docPr id="2" name="Picture 2" descr="OE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OEE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7100" cy="522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44A6F"/>
    <w:multiLevelType w:val="multilevel"/>
    <w:tmpl w:val="9B5699D0"/>
    <w:styleLink w:val="Aufzhlung"/>
    <w:lvl w:ilvl="0">
      <w:start w:val="1"/>
      <w:numFmt w:val="bullet"/>
      <w:pStyle w:val="Aufzhlungszeichen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auto"/>
        <w:u w:color="706F6F"/>
      </w:rPr>
    </w:lvl>
    <w:lvl w:ilvl="1">
      <w:start w:val="1"/>
      <w:numFmt w:val="bullet"/>
      <w:pStyle w:val="Aufzhlungszeichen2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auto"/>
      </w:rPr>
    </w:lvl>
    <w:lvl w:ilvl="2">
      <w:start w:val="1"/>
      <w:numFmt w:val="bullet"/>
      <w:pStyle w:val="Aufzhlungszeichen3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  <w:color w:val="auto"/>
      </w:rPr>
    </w:lvl>
    <w:lvl w:ilvl="3">
      <w:start w:val="1"/>
      <w:numFmt w:val="bullet"/>
      <w:pStyle w:val="Aufzhlungszeichen4"/>
      <w:lvlText w:val=""/>
      <w:lvlJc w:val="left"/>
      <w:pPr>
        <w:tabs>
          <w:tab w:val="num" w:pos="1136"/>
        </w:tabs>
        <w:ind w:left="1136" w:hanging="284"/>
      </w:pPr>
      <w:rPr>
        <w:rFonts w:ascii="Wingdings" w:hAnsi="Wingdings" w:hint="default"/>
        <w:color w:val="auto"/>
      </w:rPr>
    </w:lvl>
    <w:lvl w:ilvl="4">
      <w:start w:val="1"/>
      <w:numFmt w:val="bullet"/>
      <w:pStyle w:val="Aufzhlungszeichen5"/>
      <w:lvlText w:val=""/>
      <w:lvlJc w:val="left"/>
      <w:pPr>
        <w:tabs>
          <w:tab w:val="num" w:pos="1420"/>
        </w:tabs>
        <w:ind w:left="1420" w:hanging="284"/>
      </w:pPr>
      <w:rPr>
        <w:rFonts w:ascii="Wingdings" w:hAnsi="Wingdings" w:hint="default"/>
        <w:color w:val="auto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" w15:restartNumberingAfterBreak="0">
    <w:nsid w:val="28784968"/>
    <w:multiLevelType w:val="hybridMultilevel"/>
    <w:tmpl w:val="9A44C97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7E1378"/>
    <w:multiLevelType w:val="hybridMultilevel"/>
    <w:tmpl w:val="BE3452A2"/>
    <w:lvl w:ilvl="0" w:tplc="D88E524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C72970"/>
    <w:multiLevelType w:val="hybridMultilevel"/>
    <w:tmpl w:val="BAD02C7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793A75"/>
    <w:multiLevelType w:val="hybridMultilevel"/>
    <w:tmpl w:val="BE86A02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F74F12"/>
    <w:multiLevelType w:val="multilevel"/>
    <w:tmpl w:val="95845E02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specVanish w:val="0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B9A2672"/>
    <w:multiLevelType w:val="hybridMultilevel"/>
    <w:tmpl w:val="60065A2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1F56"/>
    <w:multiLevelType w:val="hybridMultilevel"/>
    <w:tmpl w:val="B986E43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3904064">
    <w:abstractNumId w:val="0"/>
  </w:num>
  <w:num w:numId="2" w16cid:durableId="1757938659">
    <w:abstractNumId w:val="0"/>
  </w:num>
  <w:num w:numId="3" w16cid:durableId="787359422">
    <w:abstractNumId w:val="3"/>
  </w:num>
  <w:num w:numId="4" w16cid:durableId="1783962930">
    <w:abstractNumId w:val="1"/>
  </w:num>
  <w:num w:numId="5" w16cid:durableId="1139414968">
    <w:abstractNumId w:val="5"/>
  </w:num>
  <w:num w:numId="6" w16cid:durableId="222643820">
    <w:abstractNumId w:val="2"/>
  </w:num>
  <w:num w:numId="7" w16cid:durableId="1052920067">
    <w:abstractNumId w:val="6"/>
  </w:num>
  <w:num w:numId="8" w16cid:durableId="1069351795">
    <w:abstractNumId w:val="5"/>
  </w:num>
  <w:num w:numId="9" w16cid:durableId="1087655746">
    <w:abstractNumId w:val="7"/>
  </w:num>
  <w:num w:numId="10" w16cid:durableId="765079080">
    <w:abstractNumId w:val="4"/>
  </w:num>
  <w:num w:numId="11" w16cid:durableId="1115371740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NotDisplayPageBoundaries/>
  <w:proofState w:spelling="clean" w:grammar="clean"/>
  <w:stylePaneFormatFilter w:val="F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1" w:visibleStyles="1" w:alternateStyleNames="1"/>
  <w:defaultTabStop w:val="720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BE6"/>
    <w:rsid w:val="00002891"/>
    <w:rsid w:val="000032CB"/>
    <w:rsid w:val="00010FD9"/>
    <w:rsid w:val="000144F9"/>
    <w:rsid w:val="0001497F"/>
    <w:rsid w:val="00023492"/>
    <w:rsid w:val="00024B19"/>
    <w:rsid w:val="00024E65"/>
    <w:rsid w:val="00025C3B"/>
    <w:rsid w:val="0003187F"/>
    <w:rsid w:val="0003537A"/>
    <w:rsid w:val="000371AE"/>
    <w:rsid w:val="000431A5"/>
    <w:rsid w:val="000505D2"/>
    <w:rsid w:val="00051E5A"/>
    <w:rsid w:val="00073D5C"/>
    <w:rsid w:val="00077531"/>
    <w:rsid w:val="00077B3E"/>
    <w:rsid w:val="00080A5A"/>
    <w:rsid w:val="00083A47"/>
    <w:rsid w:val="000844E2"/>
    <w:rsid w:val="000E1C79"/>
    <w:rsid w:val="00101D0B"/>
    <w:rsid w:val="00107B1A"/>
    <w:rsid w:val="00111306"/>
    <w:rsid w:val="001136D7"/>
    <w:rsid w:val="001304AC"/>
    <w:rsid w:val="00131EBB"/>
    <w:rsid w:val="0013691E"/>
    <w:rsid w:val="00136AF0"/>
    <w:rsid w:val="001448F8"/>
    <w:rsid w:val="0014561B"/>
    <w:rsid w:val="001464EA"/>
    <w:rsid w:val="00146AFC"/>
    <w:rsid w:val="00151EB7"/>
    <w:rsid w:val="00156A2E"/>
    <w:rsid w:val="00170F28"/>
    <w:rsid w:val="00171712"/>
    <w:rsid w:val="00177395"/>
    <w:rsid w:val="00177EBB"/>
    <w:rsid w:val="00186BEC"/>
    <w:rsid w:val="00194DD6"/>
    <w:rsid w:val="00197DF8"/>
    <w:rsid w:val="001A7729"/>
    <w:rsid w:val="001B1DEB"/>
    <w:rsid w:val="001C602F"/>
    <w:rsid w:val="001C6C52"/>
    <w:rsid w:val="001D083B"/>
    <w:rsid w:val="001D3C17"/>
    <w:rsid w:val="001E7ED3"/>
    <w:rsid w:val="001F008A"/>
    <w:rsid w:val="001F6FCA"/>
    <w:rsid w:val="0020288C"/>
    <w:rsid w:val="00210717"/>
    <w:rsid w:val="00215128"/>
    <w:rsid w:val="00215188"/>
    <w:rsid w:val="00217A74"/>
    <w:rsid w:val="0022694E"/>
    <w:rsid w:val="00227E58"/>
    <w:rsid w:val="00230FA2"/>
    <w:rsid w:val="002342CD"/>
    <w:rsid w:val="002348A7"/>
    <w:rsid w:val="00242A22"/>
    <w:rsid w:val="00254E0E"/>
    <w:rsid w:val="00262408"/>
    <w:rsid w:val="00263961"/>
    <w:rsid w:val="002740E6"/>
    <w:rsid w:val="0027721C"/>
    <w:rsid w:val="002852DC"/>
    <w:rsid w:val="00287B7E"/>
    <w:rsid w:val="002A6C69"/>
    <w:rsid w:val="002B13A7"/>
    <w:rsid w:val="002B59FF"/>
    <w:rsid w:val="002B5FC7"/>
    <w:rsid w:val="002B617D"/>
    <w:rsid w:val="002B7AB8"/>
    <w:rsid w:val="002C02E4"/>
    <w:rsid w:val="002C2A9E"/>
    <w:rsid w:val="002C64AA"/>
    <w:rsid w:val="002D56B0"/>
    <w:rsid w:val="002D7B31"/>
    <w:rsid w:val="002E14DA"/>
    <w:rsid w:val="002F02CC"/>
    <w:rsid w:val="002F12C3"/>
    <w:rsid w:val="0030141A"/>
    <w:rsid w:val="00312C21"/>
    <w:rsid w:val="00340B66"/>
    <w:rsid w:val="00343840"/>
    <w:rsid w:val="00345956"/>
    <w:rsid w:val="00350CDF"/>
    <w:rsid w:val="00352C89"/>
    <w:rsid w:val="00353D83"/>
    <w:rsid w:val="00354E52"/>
    <w:rsid w:val="003554DE"/>
    <w:rsid w:val="003614E5"/>
    <w:rsid w:val="00366482"/>
    <w:rsid w:val="00370FD3"/>
    <w:rsid w:val="00376502"/>
    <w:rsid w:val="0039154F"/>
    <w:rsid w:val="003A49D9"/>
    <w:rsid w:val="003B01B2"/>
    <w:rsid w:val="003B7832"/>
    <w:rsid w:val="003C2CCD"/>
    <w:rsid w:val="003C4521"/>
    <w:rsid w:val="003C485B"/>
    <w:rsid w:val="003C5B7A"/>
    <w:rsid w:val="003C664F"/>
    <w:rsid w:val="003D3884"/>
    <w:rsid w:val="003D6D34"/>
    <w:rsid w:val="003D77BF"/>
    <w:rsid w:val="003E6D60"/>
    <w:rsid w:val="003F0E61"/>
    <w:rsid w:val="003F11A2"/>
    <w:rsid w:val="003F11D4"/>
    <w:rsid w:val="003F5D14"/>
    <w:rsid w:val="004035AF"/>
    <w:rsid w:val="00407A11"/>
    <w:rsid w:val="00413727"/>
    <w:rsid w:val="00427A16"/>
    <w:rsid w:val="00433AAA"/>
    <w:rsid w:val="004363E9"/>
    <w:rsid w:val="0044201F"/>
    <w:rsid w:val="00444074"/>
    <w:rsid w:val="0045183F"/>
    <w:rsid w:val="00456D28"/>
    <w:rsid w:val="00461C1A"/>
    <w:rsid w:val="00466B44"/>
    <w:rsid w:val="00467595"/>
    <w:rsid w:val="00470ACD"/>
    <w:rsid w:val="00471EE7"/>
    <w:rsid w:val="00486E10"/>
    <w:rsid w:val="004901FA"/>
    <w:rsid w:val="00492AFE"/>
    <w:rsid w:val="004A0297"/>
    <w:rsid w:val="004A645E"/>
    <w:rsid w:val="004B19C7"/>
    <w:rsid w:val="004B4155"/>
    <w:rsid w:val="004B5F4C"/>
    <w:rsid w:val="004B7E23"/>
    <w:rsid w:val="004C2321"/>
    <w:rsid w:val="004C2CCB"/>
    <w:rsid w:val="004C6184"/>
    <w:rsid w:val="004C70F0"/>
    <w:rsid w:val="004D0608"/>
    <w:rsid w:val="004D6049"/>
    <w:rsid w:val="004E0627"/>
    <w:rsid w:val="004E60BA"/>
    <w:rsid w:val="004F4501"/>
    <w:rsid w:val="004F669C"/>
    <w:rsid w:val="004F7429"/>
    <w:rsid w:val="005075B3"/>
    <w:rsid w:val="00512EF9"/>
    <w:rsid w:val="00513D18"/>
    <w:rsid w:val="00513E16"/>
    <w:rsid w:val="0052279D"/>
    <w:rsid w:val="00522E81"/>
    <w:rsid w:val="00525EAE"/>
    <w:rsid w:val="00532701"/>
    <w:rsid w:val="00536D33"/>
    <w:rsid w:val="00560A94"/>
    <w:rsid w:val="00562BA6"/>
    <w:rsid w:val="00572750"/>
    <w:rsid w:val="00573115"/>
    <w:rsid w:val="00587970"/>
    <w:rsid w:val="00587988"/>
    <w:rsid w:val="00594F31"/>
    <w:rsid w:val="005A0099"/>
    <w:rsid w:val="005A032D"/>
    <w:rsid w:val="005A0FF7"/>
    <w:rsid w:val="005B0E0C"/>
    <w:rsid w:val="005B0F0B"/>
    <w:rsid w:val="005B523A"/>
    <w:rsid w:val="005D3992"/>
    <w:rsid w:val="005D3F82"/>
    <w:rsid w:val="005D7EED"/>
    <w:rsid w:val="005E3976"/>
    <w:rsid w:val="005F543A"/>
    <w:rsid w:val="006003E2"/>
    <w:rsid w:val="00603908"/>
    <w:rsid w:val="00614D85"/>
    <w:rsid w:val="006160A0"/>
    <w:rsid w:val="00624D26"/>
    <w:rsid w:val="00633FAE"/>
    <w:rsid w:val="00640731"/>
    <w:rsid w:val="0067491C"/>
    <w:rsid w:val="00686822"/>
    <w:rsid w:val="00696888"/>
    <w:rsid w:val="006A4BD9"/>
    <w:rsid w:val="006A6E4C"/>
    <w:rsid w:val="006B253A"/>
    <w:rsid w:val="006B2B14"/>
    <w:rsid w:val="006C1C31"/>
    <w:rsid w:val="006E3365"/>
    <w:rsid w:val="006E4D1B"/>
    <w:rsid w:val="006F1ACA"/>
    <w:rsid w:val="006F1DF0"/>
    <w:rsid w:val="00702F97"/>
    <w:rsid w:val="00705304"/>
    <w:rsid w:val="00705E95"/>
    <w:rsid w:val="00713332"/>
    <w:rsid w:val="007177F8"/>
    <w:rsid w:val="007256F0"/>
    <w:rsid w:val="007311D8"/>
    <w:rsid w:val="007314DB"/>
    <w:rsid w:val="00740A22"/>
    <w:rsid w:val="00743797"/>
    <w:rsid w:val="00744160"/>
    <w:rsid w:val="00746333"/>
    <w:rsid w:val="00750DF8"/>
    <w:rsid w:val="00761991"/>
    <w:rsid w:val="00761F84"/>
    <w:rsid w:val="00764751"/>
    <w:rsid w:val="00771CE2"/>
    <w:rsid w:val="00777F07"/>
    <w:rsid w:val="00783948"/>
    <w:rsid w:val="007910A0"/>
    <w:rsid w:val="00796469"/>
    <w:rsid w:val="007A23D5"/>
    <w:rsid w:val="007A4BE9"/>
    <w:rsid w:val="007D159E"/>
    <w:rsid w:val="007E0B2B"/>
    <w:rsid w:val="007E1B87"/>
    <w:rsid w:val="007E31F3"/>
    <w:rsid w:val="007E7EE6"/>
    <w:rsid w:val="007F0232"/>
    <w:rsid w:val="007F1A26"/>
    <w:rsid w:val="007F6AA1"/>
    <w:rsid w:val="00802A43"/>
    <w:rsid w:val="008059C4"/>
    <w:rsid w:val="00812FA5"/>
    <w:rsid w:val="00826078"/>
    <w:rsid w:val="008262A0"/>
    <w:rsid w:val="0083225F"/>
    <w:rsid w:val="00846AEF"/>
    <w:rsid w:val="00851BE6"/>
    <w:rsid w:val="00852CD0"/>
    <w:rsid w:val="00855B13"/>
    <w:rsid w:val="008566C9"/>
    <w:rsid w:val="00862E00"/>
    <w:rsid w:val="008637BB"/>
    <w:rsid w:val="00864A2C"/>
    <w:rsid w:val="008716FA"/>
    <w:rsid w:val="008750D8"/>
    <w:rsid w:val="00880E0D"/>
    <w:rsid w:val="00884455"/>
    <w:rsid w:val="00886CBA"/>
    <w:rsid w:val="008969F6"/>
    <w:rsid w:val="008A1C22"/>
    <w:rsid w:val="008A29C1"/>
    <w:rsid w:val="008A4ACF"/>
    <w:rsid w:val="008B3CA3"/>
    <w:rsid w:val="008C0E58"/>
    <w:rsid w:val="008C2E43"/>
    <w:rsid w:val="008C639B"/>
    <w:rsid w:val="008D5DC7"/>
    <w:rsid w:val="008F2391"/>
    <w:rsid w:val="008F32DB"/>
    <w:rsid w:val="009054A3"/>
    <w:rsid w:val="0090570A"/>
    <w:rsid w:val="009073ED"/>
    <w:rsid w:val="00914C6A"/>
    <w:rsid w:val="00921482"/>
    <w:rsid w:val="00936938"/>
    <w:rsid w:val="0094070D"/>
    <w:rsid w:val="00942733"/>
    <w:rsid w:val="009433D7"/>
    <w:rsid w:val="009450BC"/>
    <w:rsid w:val="00945934"/>
    <w:rsid w:val="009500E9"/>
    <w:rsid w:val="0096147D"/>
    <w:rsid w:val="00961ACE"/>
    <w:rsid w:val="00964F74"/>
    <w:rsid w:val="00970934"/>
    <w:rsid w:val="00973236"/>
    <w:rsid w:val="009839B1"/>
    <w:rsid w:val="0098599D"/>
    <w:rsid w:val="0099726F"/>
    <w:rsid w:val="009A0EA0"/>
    <w:rsid w:val="009A2DDB"/>
    <w:rsid w:val="009A3805"/>
    <w:rsid w:val="009B1428"/>
    <w:rsid w:val="009C0E60"/>
    <w:rsid w:val="009C3CF2"/>
    <w:rsid w:val="009D458F"/>
    <w:rsid w:val="009D4A6A"/>
    <w:rsid w:val="009E58F0"/>
    <w:rsid w:val="009E72DB"/>
    <w:rsid w:val="009F03A1"/>
    <w:rsid w:val="009F05C2"/>
    <w:rsid w:val="009F1651"/>
    <w:rsid w:val="00A000FA"/>
    <w:rsid w:val="00A015BF"/>
    <w:rsid w:val="00A01CA0"/>
    <w:rsid w:val="00A06325"/>
    <w:rsid w:val="00A070BF"/>
    <w:rsid w:val="00A13F4F"/>
    <w:rsid w:val="00A21314"/>
    <w:rsid w:val="00A25A00"/>
    <w:rsid w:val="00A36677"/>
    <w:rsid w:val="00A4003F"/>
    <w:rsid w:val="00A43553"/>
    <w:rsid w:val="00A516BB"/>
    <w:rsid w:val="00A63B01"/>
    <w:rsid w:val="00A662F3"/>
    <w:rsid w:val="00A710E2"/>
    <w:rsid w:val="00A73216"/>
    <w:rsid w:val="00A75221"/>
    <w:rsid w:val="00A76084"/>
    <w:rsid w:val="00A76405"/>
    <w:rsid w:val="00A77DC8"/>
    <w:rsid w:val="00A90CC7"/>
    <w:rsid w:val="00A95500"/>
    <w:rsid w:val="00A97D3F"/>
    <w:rsid w:val="00AA5B1A"/>
    <w:rsid w:val="00AB4CD3"/>
    <w:rsid w:val="00AC2E20"/>
    <w:rsid w:val="00AC3716"/>
    <w:rsid w:val="00AC41E4"/>
    <w:rsid w:val="00AC4769"/>
    <w:rsid w:val="00AC58E7"/>
    <w:rsid w:val="00AD2155"/>
    <w:rsid w:val="00AE2826"/>
    <w:rsid w:val="00AE517B"/>
    <w:rsid w:val="00AF294E"/>
    <w:rsid w:val="00AF3CBA"/>
    <w:rsid w:val="00B033DD"/>
    <w:rsid w:val="00B05B35"/>
    <w:rsid w:val="00B11E2C"/>
    <w:rsid w:val="00B1730E"/>
    <w:rsid w:val="00B44703"/>
    <w:rsid w:val="00B47A84"/>
    <w:rsid w:val="00B51CE8"/>
    <w:rsid w:val="00B51F0A"/>
    <w:rsid w:val="00B52079"/>
    <w:rsid w:val="00B5765B"/>
    <w:rsid w:val="00B75EA1"/>
    <w:rsid w:val="00B7606E"/>
    <w:rsid w:val="00B80E4E"/>
    <w:rsid w:val="00B85096"/>
    <w:rsid w:val="00B85938"/>
    <w:rsid w:val="00BA1BE9"/>
    <w:rsid w:val="00BC0439"/>
    <w:rsid w:val="00BC0A9B"/>
    <w:rsid w:val="00BD2018"/>
    <w:rsid w:val="00BE4169"/>
    <w:rsid w:val="00BE44B8"/>
    <w:rsid w:val="00BE5F7D"/>
    <w:rsid w:val="00BF02AE"/>
    <w:rsid w:val="00BF0591"/>
    <w:rsid w:val="00BF68CC"/>
    <w:rsid w:val="00BF729A"/>
    <w:rsid w:val="00C00B11"/>
    <w:rsid w:val="00C07B3F"/>
    <w:rsid w:val="00C136FF"/>
    <w:rsid w:val="00C30997"/>
    <w:rsid w:val="00C30F09"/>
    <w:rsid w:val="00C335A0"/>
    <w:rsid w:val="00C40BC7"/>
    <w:rsid w:val="00C51718"/>
    <w:rsid w:val="00C57A15"/>
    <w:rsid w:val="00C57DDF"/>
    <w:rsid w:val="00C660C8"/>
    <w:rsid w:val="00C73279"/>
    <w:rsid w:val="00C73A0E"/>
    <w:rsid w:val="00C861FA"/>
    <w:rsid w:val="00C87CEF"/>
    <w:rsid w:val="00C939B9"/>
    <w:rsid w:val="00CA37C2"/>
    <w:rsid w:val="00CB24E6"/>
    <w:rsid w:val="00CB602E"/>
    <w:rsid w:val="00CC160E"/>
    <w:rsid w:val="00CC3B1C"/>
    <w:rsid w:val="00CC426F"/>
    <w:rsid w:val="00CC7E8D"/>
    <w:rsid w:val="00CD0B63"/>
    <w:rsid w:val="00CD1671"/>
    <w:rsid w:val="00CD1DC7"/>
    <w:rsid w:val="00CD4C47"/>
    <w:rsid w:val="00CD4F47"/>
    <w:rsid w:val="00CD5F2B"/>
    <w:rsid w:val="00CE2623"/>
    <w:rsid w:val="00CE3A51"/>
    <w:rsid w:val="00CF12F0"/>
    <w:rsid w:val="00CF47C5"/>
    <w:rsid w:val="00D005BF"/>
    <w:rsid w:val="00D161EC"/>
    <w:rsid w:val="00D16300"/>
    <w:rsid w:val="00D3021B"/>
    <w:rsid w:val="00D3354C"/>
    <w:rsid w:val="00D4465F"/>
    <w:rsid w:val="00D50B18"/>
    <w:rsid w:val="00D55F2A"/>
    <w:rsid w:val="00D61D36"/>
    <w:rsid w:val="00D6382E"/>
    <w:rsid w:val="00D64858"/>
    <w:rsid w:val="00D64BE7"/>
    <w:rsid w:val="00D64D7D"/>
    <w:rsid w:val="00D75779"/>
    <w:rsid w:val="00D81233"/>
    <w:rsid w:val="00D85D53"/>
    <w:rsid w:val="00D86F08"/>
    <w:rsid w:val="00D909E7"/>
    <w:rsid w:val="00D914C0"/>
    <w:rsid w:val="00D91675"/>
    <w:rsid w:val="00DA043C"/>
    <w:rsid w:val="00DA3B03"/>
    <w:rsid w:val="00DA7862"/>
    <w:rsid w:val="00DB1C2D"/>
    <w:rsid w:val="00DD1257"/>
    <w:rsid w:val="00DD4E57"/>
    <w:rsid w:val="00DD57DE"/>
    <w:rsid w:val="00DE0A54"/>
    <w:rsid w:val="00DE3613"/>
    <w:rsid w:val="00DE4B8C"/>
    <w:rsid w:val="00DE4C15"/>
    <w:rsid w:val="00E02DFB"/>
    <w:rsid w:val="00E030DA"/>
    <w:rsid w:val="00E0387D"/>
    <w:rsid w:val="00E114E4"/>
    <w:rsid w:val="00E1178C"/>
    <w:rsid w:val="00E12030"/>
    <w:rsid w:val="00E17925"/>
    <w:rsid w:val="00E20DD1"/>
    <w:rsid w:val="00E22CF3"/>
    <w:rsid w:val="00E235A6"/>
    <w:rsid w:val="00E30D13"/>
    <w:rsid w:val="00E338E1"/>
    <w:rsid w:val="00E42D40"/>
    <w:rsid w:val="00E44F62"/>
    <w:rsid w:val="00E50FC6"/>
    <w:rsid w:val="00E53270"/>
    <w:rsid w:val="00E612CF"/>
    <w:rsid w:val="00E7244E"/>
    <w:rsid w:val="00E83984"/>
    <w:rsid w:val="00E85646"/>
    <w:rsid w:val="00E85AC6"/>
    <w:rsid w:val="00E95E3C"/>
    <w:rsid w:val="00E96FEC"/>
    <w:rsid w:val="00EB7FAE"/>
    <w:rsid w:val="00ED39BB"/>
    <w:rsid w:val="00EE3CB0"/>
    <w:rsid w:val="00EF031C"/>
    <w:rsid w:val="00F10ACF"/>
    <w:rsid w:val="00F140C2"/>
    <w:rsid w:val="00F30D21"/>
    <w:rsid w:val="00F43404"/>
    <w:rsid w:val="00F45F9A"/>
    <w:rsid w:val="00F513C6"/>
    <w:rsid w:val="00F52D5B"/>
    <w:rsid w:val="00F60739"/>
    <w:rsid w:val="00F62B00"/>
    <w:rsid w:val="00F641E9"/>
    <w:rsid w:val="00F715A0"/>
    <w:rsid w:val="00F815AE"/>
    <w:rsid w:val="00F84CAA"/>
    <w:rsid w:val="00F903CA"/>
    <w:rsid w:val="00F91F38"/>
    <w:rsid w:val="00F94E9F"/>
    <w:rsid w:val="00FA4C32"/>
    <w:rsid w:val="00FA4CFF"/>
    <w:rsid w:val="00FA54FA"/>
    <w:rsid w:val="00FA570A"/>
    <w:rsid w:val="00FC3A53"/>
    <w:rsid w:val="00FD5AB5"/>
    <w:rsid w:val="00FE0478"/>
    <w:rsid w:val="00FE3A64"/>
    <w:rsid w:val="00FE73CA"/>
    <w:rsid w:val="00FE7FFE"/>
    <w:rsid w:val="00FF3857"/>
    <w:rsid w:val="00FF41EF"/>
    <w:rsid w:val="00FF4581"/>
    <w:rsid w:val="00FF4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9F1A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="Times New Roman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4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4" w:qFormat="1"/>
    <w:lsdException w:name="List Bullet 3" w:uiPriority="4" w:qFormat="1"/>
    <w:lsdException w:name="List Bullet 4" w:uiPriority="4"/>
    <w:lsdException w:name="List Bullet 5" w:semiHidden="1" w:uiPriority="4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71CE2"/>
    <w:rPr>
      <w:lang w:val="de-A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177F8"/>
    <w:pPr>
      <w:keepNext/>
      <w:keepLines/>
      <w:numPr>
        <w:numId w:val="5"/>
      </w:numPr>
      <w:spacing w:before="360" w:after="120"/>
      <w:ind w:left="431" w:right="851" w:hanging="431"/>
      <w:outlineLvl w:val="0"/>
    </w:pPr>
    <w:rPr>
      <w:b/>
      <w:color w:val="991239"/>
      <w:sz w:val="28"/>
      <w:szCs w:val="28"/>
      <w:lang w:val="de-DE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513D18"/>
    <w:pPr>
      <w:keepNext/>
      <w:numPr>
        <w:ilvl w:val="1"/>
        <w:numId w:val="5"/>
      </w:numPr>
      <w:spacing w:before="240" w:after="60"/>
      <w:outlineLvl w:val="1"/>
    </w:pPr>
    <w:rPr>
      <w:rFonts w:cs="Arial"/>
      <w:bCs/>
      <w:iCs/>
      <w:color w:val="991239"/>
      <w:sz w:val="24"/>
      <w:szCs w:val="24"/>
    </w:rPr>
  </w:style>
  <w:style w:type="paragraph" w:styleId="berschrift3">
    <w:name w:val="heading 3"/>
    <w:basedOn w:val="Standard"/>
    <w:next w:val="Standard"/>
    <w:uiPriority w:val="9"/>
    <w:qFormat/>
    <w:rsid w:val="000144F9"/>
    <w:pPr>
      <w:keepNext/>
      <w:numPr>
        <w:ilvl w:val="2"/>
        <w:numId w:val="5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8262A0"/>
    <w:pPr>
      <w:keepNext/>
      <w:keepLines/>
      <w:numPr>
        <w:ilvl w:val="3"/>
        <w:numId w:val="5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72002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8262A0"/>
    <w:pPr>
      <w:keepNext/>
      <w:keepLines/>
      <w:numPr>
        <w:ilvl w:val="4"/>
        <w:numId w:val="5"/>
      </w:numPr>
      <w:spacing w:before="40"/>
      <w:outlineLvl w:val="4"/>
    </w:pPr>
    <w:rPr>
      <w:rFonts w:asciiTheme="majorHAnsi" w:eastAsiaTheme="majorEastAsia" w:hAnsiTheme="majorHAnsi" w:cstheme="majorBidi"/>
      <w:color w:val="72002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8262A0"/>
    <w:pPr>
      <w:keepNext/>
      <w:keepLines/>
      <w:numPr>
        <w:ilvl w:val="5"/>
        <w:numId w:val="5"/>
      </w:numPr>
      <w:spacing w:before="40"/>
      <w:outlineLvl w:val="5"/>
    </w:pPr>
    <w:rPr>
      <w:rFonts w:asciiTheme="majorHAnsi" w:eastAsiaTheme="majorEastAsia" w:hAnsiTheme="majorHAnsi" w:cstheme="majorBidi"/>
      <w:color w:val="4C0019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8262A0"/>
    <w:pPr>
      <w:keepNext/>
      <w:keepLines/>
      <w:numPr>
        <w:ilvl w:val="6"/>
        <w:numId w:val="5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4C0019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8262A0"/>
    <w:pPr>
      <w:keepNext/>
      <w:keepLines/>
      <w:numPr>
        <w:ilvl w:val="7"/>
        <w:numId w:val="5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8262A0"/>
    <w:pPr>
      <w:keepNext/>
      <w:keepLines/>
      <w:numPr>
        <w:ilvl w:val="8"/>
        <w:numId w:val="5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D5D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D5DC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uiPriority w:val="99"/>
    <w:semiHidden/>
    <w:rsid w:val="000144F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uiPriority w:val="99"/>
    <w:semiHidden/>
    <w:rsid w:val="00FF46EC"/>
    <w:pPr>
      <w:tabs>
        <w:tab w:val="center" w:pos="4536"/>
        <w:tab w:val="right" w:pos="9072"/>
      </w:tabs>
      <w:ind w:right="32"/>
      <w:jc w:val="right"/>
    </w:pPr>
    <w:rPr>
      <w:rFonts w:cs="Arial"/>
      <w:sz w:val="15"/>
      <w:szCs w:val="15"/>
      <w:lang w:val="de-DE"/>
    </w:rPr>
  </w:style>
  <w:style w:type="character" w:customStyle="1" w:styleId="Platzhaltertext1">
    <w:name w:val="Platzhaltertext1"/>
    <w:basedOn w:val="Absatz-Standardschriftart"/>
    <w:uiPriority w:val="99"/>
    <w:semiHidden/>
    <w:rsid w:val="008059C4"/>
    <w:rPr>
      <w:color w:val="808080"/>
    </w:rPr>
  </w:style>
  <w:style w:type="character" w:customStyle="1" w:styleId="Standard8ptZchn">
    <w:name w:val="Standard 8 pt Zchn"/>
    <w:basedOn w:val="Absatz-Standardschriftart"/>
    <w:link w:val="Standard8pt"/>
    <w:rsid w:val="00686822"/>
    <w:rPr>
      <w:rFonts w:eastAsia="Times New Roman" w:cs="Arial"/>
      <w:sz w:val="16"/>
      <w:szCs w:val="16"/>
      <w:lang w:val="de-AT" w:eastAsia="de-AT"/>
    </w:rPr>
  </w:style>
  <w:style w:type="paragraph" w:customStyle="1" w:styleId="HInweis">
    <w:name w:val="HInweis"/>
    <w:basedOn w:val="Standard"/>
    <w:uiPriority w:val="3"/>
    <w:qFormat/>
    <w:rsid w:val="007910A0"/>
    <w:pPr>
      <w:ind w:right="-89"/>
    </w:pPr>
    <w:rPr>
      <w:sz w:val="18"/>
    </w:rPr>
  </w:style>
  <w:style w:type="table" w:styleId="Tabellenraster">
    <w:name w:val="Table Grid"/>
    <w:basedOn w:val="NormaleTabelle"/>
    <w:uiPriority w:val="39"/>
    <w:rsid w:val="00E44F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936938"/>
    <w:pPr>
      <w:spacing w:after="600" w:line="280" w:lineRule="atLeast"/>
      <w:ind w:right="851"/>
    </w:pPr>
    <w:rPr>
      <w:b/>
      <w:color w:val="990033" w:themeColor="accent1"/>
      <w:sz w:val="36"/>
      <w:szCs w:val="40"/>
      <w:lang w:val="de-DE"/>
    </w:rPr>
  </w:style>
  <w:style w:type="character" w:customStyle="1" w:styleId="TitelZchn">
    <w:name w:val="Titel Zchn"/>
    <w:basedOn w:val="Absatz-Standardschriftart"/>
    <w:link w:val="Titel"/>
    <w:uiPriority w:val="10"/>
    <w:rsid w:val="00936938"/>
    <w:rPr>
      <w:b/>
      <w:color w:val="990033" w:themeColor="accent1"/>
      <w:sz w:val="36"/>
      <w:szCs w:val="40"/>
      <w:lang w:val="de-DE"/>
    </w:rPr>
  </w:style>
  <w:style w:type="paragraph" w:styleId="Aufzhlungszeichen">
    <w:name w:val="List Bullet"/>
    <w:basedOn w:val="Standard"/>
    <w:uiPriority w:val="4"/>
    <w:rsid w:val="00CC7E8D"/>
    <w:pPr>
      <w:numPr>
        <w:numId w:val="2"/>
      </w:numPr>
      <w:ind w:right="850"/>
      <w:contextualSpacing/>
    </w:pPr>
  </w:style>
  <w:style w:type="paragraph" w:styleId="Aufzhlungszeichen2">
    <w:name w:val="List Bullet 2"/>
    <w:basedOn w:val="Standard"/>
    <w:uiPriority w:val="4"/>
    <w:qFormat/>
    <w:rsid w:val="00855B13"/>
    <w:pPr>
      <w:numPr>
        <w:ilvl w:val="1"/>
        <w:numId w:val="2"/>
      </w:numPr>
      <w:tabs>
        <w:tab w:val="clear" w:pos="568"/>
        <w:tab w:val="left" w:pos="567"/>
      </w:tabs>
      <w:ind w:right="850"/>
    </w:pPr>
    <w:rPr>
      <w:rFonts w:eastAsiaTheme="minorHAnsi" w:cstheme="minorBidi"/>
      <w:b/>
      <w:szCs w:val="20"/>
      <w:lang w:val="de-DE"/>
    </w:rPr>
  </w:style>
  <w:style w:type="paragraph" w:styleId="Aufzhlungszeichen3">
    <w:name w:val="List Bullet 3"/>
    <w:basedOn w:val="Standard"/>
    <w:uiPriority w:val="4"/>
    <w:qFormat/>
    <w:rsid w:val="00CC7E8D"/>
    <w:pPr>
      <w:numPr>
        <w:ilvl w:val="2"/>
        <w:numId w:val="2"/>
      </w:numPr>
      <w:ind w:right="850"/>
      <w:contextualSpacing/>
    </w:pPr>
    <w:rPr>
      <w:rFonts w:eastAsiaTheme="minorHAnsi" w:cstheme="minorBidi"/>
      <w:szCs w:val="20"/>
    </w:rPr>
  </w:style>
  <w:style w:type="paragraph" w:styleId="Aufzhlungszeichen4">
    <w:name w:val="List Bullet 4"/>
    <w:basedOn w:val="Standard"/>
    <w:uiPriority w:val="4"/>
    <w:semiHidden/>
    <w:rsid w:val="009F05C2"/>
    <w:pPr>
      <w:numPr>
        <w:ilvl w:val="3"/>
        <w:numId w:val="2"/>
      </w:numPr>
      <w:spacing w:before="120" w:line="26" w:lineRule="atLeast"/>
      <w:contextualSpacing/>
    </w:pPr>
    <w:rPr>
      <w:rFonts w:eastAsiaTheme="minorHAnsi" w:cstheme="minorBidi"/>
      <w:sz w:val="20"/>
      <w:szCs w:val="20"/>
    </w:rPr>
  </w:style>
  <w:style w:type="paragraph" w:customStyle="1" w:styleId="Standard8pt">
    <w:name w:val="Standard 8 pt"/>
    <w:basedOn w:val="Standard"/>
    <w:link w:val="Standard8ptZchn"/>
    <w:qFormat/>
    <w:rsid w:val="00686822"/>
    <w:rPr>
      <w:rFonts w:eastAsia="Times New Roman" w:cs="Arial"/>
      <w:sz w:val="16"/>
      <w:szCs w:val="16"/>
      <w:lang w:eastAsia="de-AT"/>
    </w:rPr>
  </w:style>
  <w:style w:type="character" w:styleId="Platzhaltertext">
    <w:name w:val="Placeholder Text"/>
    <w:basedOn w:val="Absatz-Standardschriftart"/>
    <w:uiPriority w:val="99"/>
    <w:semiHidden/>
    <w:rsid w:val="009F05C2"/>
    <w:rPr>
      <w:color w:val="808080"/>
    </w:rPr>
  </w:style>
  <w:style w:type="paragraph" w:styleId="Listenabsatz">
    <w:name w:val="List Paragraph"/>
    <w:basedOn w:val="Standard"/>
    <w:uiPriority w:val="34"/>
    <w:qFormat/>
    <w:rsid w:val="009F05C2"/>
    <w:pPr>
      <w:ind w:left="720"/>
      <w:contextualSpacing/>
    </w:pPr>
  </w:style>
  <w:style w:type="numbering" w:customStyle="1" w:styleId="Aufzhlung">
    <w:name w:val="Aufzählung"/>
    <w:basedOn w:val="KeineListe"/>
    <w:uiPriority w:val="99"/>
    <w:rsid w:val="009F05C2"/>
    <w:pPr>
      <w:numPr>
        <w:numId w:val="1"/>
      </w:numPr>
    </w:pPr>
  </w:style>
  <w:style w:type="paragraph" w:styleId="Aufzhlungszeichen5">
    <w:name w:val="List Bullet 5"/>
    <w:basedOn w:val="Standard"/>
    <w:uiPriority w:val="4"/>
    <w:semiHidden/>
    <w:rsid w:val="009F05C2"/>
    <w:pPr>
      <w:numPr>
        <w:ilvl w:val="4"/>
        <w:numId w:val="2"/>
      </w:numPr>
      <w:spacing w:before="120" w:line="26" w:lineRule="atLeast"/>
      <w:contextualSpacing/>
    </w:pPr>
    <w:rPr>
      <w:rFonts w:eastAsiaTheme="minorHAnsi" w:cstheme="minorBidi"/>
      <w:sz w:val="20"/>
      <w:szCs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177F8"/>
    <w:rPr>
      <w:b/>
      <w:color w:val="991239"/>
      <w:sz w:val="28"/>
      <w:szCs w:val="28"/>
      <w:lang w:val="de-DE"/>
    </w:rPr>
  </w:style>
  <w:style w:type="character" w:styleId="Hyperlink">
    <w:name w:val="Hyperlink"/>
    <w:basedOn w:val="Absatz-Standardschriftart"/>
    <w:uiPriority w:val="99"/>
    <w:unhideWhenUsed/>
    <w:rsid w:val="00CF12F0"/>
    <w:rPr>
      <w:color w:val="auto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F12F0"/>
    <w:rPr>
      <w:color w:val="808080"/>
      <w:shd w:val="clear" w:color="auto" w:fill="E6E6E6"/>
    </w:rPr>
  </w:style>
  <w:style w:type="character" w:styleId="Kommentarzeichen">
    <w:name w:val="annotation reference"/>
    <w:basedOn w:val="Absatz-Standardschriftart"/>
    <w:semiHidden/>
    <w:unhideWhenUsed/>
    <w:rsid w:val="00594F31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94F3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94F31"/>
    <w:rPr>
      <w:sz w:val="20"/>
      <w:szCs w:val="20"/>
      <w:lang w:val="de-A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94F3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94F31"/>
    <w:rPr>
      <w:b/>
      <w:bCs/>
      <w:sz w:val="20"/>
      <w:szCs w:val="20"/>
      <w:lang w:val="de-AT"/>
    </w:rPr>
  </w:style>
  <w:style w:type="paragraph" w:customStyle="1" w:styleId="FuzeileFolgeseite">
    <w:name w:val="Fußzeile Folgeseite"/>
    <w:basedOn w:val="Fuzeile"/>
    <w:uiPriority w:val="99"/>
    <w:semiHidden/>
    <w:rsid w:val="007910A0"/>
    <w:pPr>
      <w:spacing w:after="360"/>
      <w:ind w:right="0"/>
    </w:pPr>
    <w:rPr>
      <w:lang w:val="de-AT"/>
    </w:rPr>
  </w:style>
  <w:style w:type="paragraph" w:customStyle="1" w:styleId="Titel2">
    <w:name w:val="Titel 2"/>
    <w:basedOn w:val="Titel"/>
    <w:uiPriority w:val="10"/>
    <w:qFormat/>
    <w:rsid w:val="005D3F82"/>
  </w:style>
  <w:style w:type="paragraph" w:styleId="Untertitel">
    <w:name w:val="Subtitle"/>
    <w:basedOn w:val="Standard"/>
    <w:next w:val="Standard"/>
    <w:link w:val="UntertitelZchn"/>
    <w:uiPriority w:val="11"/>
    <w:qFormat/>
    <w:rsid w:val="00370FD3"/>
    <w:pPr>
      <w:ind w:right="851"/>
    </w:pPr>
    <w:rPr>
      <w:color w:val="FFFFFF"/>
      <w:sz w:val="28"/>
      <w:szCs w:val="28"/>
      <w:lang w:val="de-D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70FD3"/>
    <w:rPr>
      <w:color w:val="FFFFFF"/>
      <w:sz w:val="28"/>
      <w:szCs w:val="28"/>
      <w:lang w:val="de-DE"/>
    </w:rPr>
  </w:style>
  <w:style w:type="paragraph" w:styleId="KeinLeerraum">
    <w:name w:val="No Spacing"/>
    <w:uiPriority w:val="1"/>
    <w:qFormat/>
    <w:rsid w:val="007910A0"/>
    <w:rPr>
      <w:lang w:val="de-AT"/>
    </w:rPr>
  </w:style>
  <w:style w:type="paragraph" w:customStyle="1" w:styleId="FuzeileS1">
    <w:name w:val="Fußzeile S1"/>
    <w:basedOn w:val="Standard"/>
    <w:uiPriority w:val="99"/>
    <w:semiHidden/>
    <w:qFormat/>
    <w:rsid w:val="00744160"/>
    <w:pPr>
      <w:spacing w:before="1720" w:after="85" w:line="170" w:lineRule="exact"/>
      <w:ind w:right="851"/>
      <w:jc w:val="right"/>
    </w:pPr>
    <w:rPr>
      <w:noProof/>
      <w:sz w:val="15"/>
      <w:szCs w:val="15"/>
    </w:rPr>
  </w:style>
  <w:style w:type="paragraph" w:customStyle="1" w:styleId="FuzeileAdresse">
    <w:name w:val="Fußzeile Adresse"/>
    <w:basedOn w:val="Standard"/>
    <w:uiPriority w:val="99"/>
    <w:semiHidden/>
    <w:qFormat/>
    <w:rsid w:val="00744160"/>
    <w:pPr>
      <w:tabs>
        <w:tab w:val="left" w:pos="1246"/>
        <w:tab w:val="left" w:pos="3052"/>
        <w:tab w:val="right" w:pos="9923"/>
      </w:tabs>
      <w:spacing w:after="85" w:line="170" w:lineRule="exact"/>
    </w:pPr>
    <w:rPr>
      <w:sz w:val="15"/>
      <w:szCs w:val="15"/>
    </w:rPr>
  </w:style>
  <w:style w:type="character" w:styleId="Fett">
    <w:name w:val="Strong"/>
    <w:basedOn w:val="Absatz-Standardschriftart"/>
    <w:qFormat/>
    <w:rsid w:val="00614D85"/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73115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73115"/>
    <w:rPr>
      <w:sz w:val="20"/>
      <w:szCs w:val="20"/>
      <w:lang w:val="de-AT"/>
    </w:rPr>
  </w:style>
  <w:style w:type="character" w:styleId="Funotenzeichen">
    <w:name w:val="footnote reference"/>
    <w:basedOn w:val="Absatz-Standardschriftart"/>
    <w:uiPriority w:val="99"/>
    <w:semiHidden/>
    <w:unhideWhenUsed/>
    <w:rsid w:val="00573115"/>
    <w:rPr>
      <w:vertAlign w:val="superscript"/>
    </w:rPr>
  </w:style>
  <w:style w:type="paragraph" w:customStyle="1" w:styleId="Tabelle">
    <w:name w:val="Tabelle"/>
    <w:basedOn w:val="Standard"/>
    <w:qFormat/>
    <w:rsid w:val="002740E6"/>
    <w:pPr>
      <w:keepNext/>
      <w:spacing w:line="240" w:lineRule="atLeast"/>
      <w:jc w:val="center"/>
    </w:pPr>
    <w:rPr>
      <w:rFonts w:ascii="Arial" w:eastAsiaTheme="minorHAnsi" w:hAnsi="Arial" w:cstheme="minorBidi"/>
      <w:sz w:val="18"/>
      <w:szCs w:val="20"/>
      <w:lang w:val="de-DE"/>
    </w:rPr>
  </w:style>
  <w:style w:type="paragraph" w:styleId="Textkrper">
    <w:name w:val="Body Text"/>
    <w:basedOn w:val="Standard"/>
    <w:link w:val="TextkrperZchn"/>
    <w:rsid w:val="002740E6"/>
    <w:pPr>
      <w:spacing w:after="120"/>
    </w:pPr>
    <w:rPr>
      <w:rFonts w:ascii="Arial" w:eastAsia="Arial" w:hAnsi="Arial" w:cs="Arial"/>
      <w:color w:val="4D4D4D"/>
      <w:sz w:val="19"/>
      <w:szCs w:val="19"/>
    </w:rPr>
  </w:style>
  <w:style w:type="character" w:customStyle="1" w:styleId="TextkrperZchn">
    <w:name w:val="Textkörper Zchn"/>
    <w:basedOn w:val="Absatz-Standardschriftart"/>
    <w:link w:val="Textkrper"/>
    <w:rsid w:val="002740E6"/>
    <w:rPr>
      <w:rFonts w:ascii="Arial" w:eastAsia="Arial" w:hAnsi="Arial" w:cs="Arial"/>
      <w:color w:val="4D4D4D"/>
      <w:sz w:val="19"/>
      <w:szCs w:val="19"/>
      <w:lang w:val="de-AT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262A0"/>
    <w:rPr>
      <w:rFonts w:asciiTheme="majorHAnsi" w:eastAsiaTheme="majorEastAsia" w:hAnsiTheme="majorHAnsi" w:cstheme="majorBidi"/>
      <w:i/>
      <w:iCs/>
      <w:color w:val="720026" w:themeColor="accent1" w:themeShade="BF"/>
      <w:lang w:val="de-AT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262A0"/>
    <w:rPr>
      <w:rFonts w:asciiTheme="majorHAnsi" w:eastAsiaTheme="majorEastAsia" w:hAnsiTheme="majorHAnsi" w:cstheme="majorBidi"/>
      <w:color w:val="720026" w:themeColor="accent1" w:themeShade="BF"/>
      <w:lang w:val="de-AT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262A0"/>
    <w:rPr>
      <w:rFonts w:asciiTheme="majorHAnsi" w:eastAsiaTheme="majorEastAsia" w:hAnsiTheme="majorHAnsi" w:cstheme="majorBidi"/>
      <w:color w:val="4C0019" w:themeColor="accent1" w:themeShade="7F"/>
      <w:lang w:val="de-AT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262A0"/>
    <w:rPr>
      <w:rFonts w:asciiTheme="majorHAnsi" w:eastAsiaTheme="majorEastAsia" w:hAnsiTheme="majorHAnsi" w:cstheme="majorBidi"/>
      <w:i/>
      <w:iCs/>
      <w:color w:val="4C0019" w:themeColor="accent1" w:themeShade="7F"/>
      <w:lang w:val="de-AT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262A0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de-AT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262A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de-AT"/>
    </w:rPr>
  </w:style>
  <w:style w:type="paragraph" w:styleId="Beschriftung">
    <w:name w:val="caption"/>
    <w:basedOn w:val="Standard"/>
    <w:next w:val="Standard"/>
    <w:uiPriority w:val="35"/>
    <w:unhideWhenUsed/>
    <w:qFormat/>
    <w:rsid w:val="00513D18"/>
    <w:pPr>
      <w:spacing w:after="200" w:line="240" w:lineRule="auto"/>
    </w:pPr>
    <w:rPr>
      <w:i/>
      <w:iCs/>
      <w:color w:val="5E5E5E" w:themeColor="text2"/>
      <w:sz w:val="18"/>
      <w:szCs w:val="18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BD2018"/>
    <w:pPr>
      <w:numPr>
        <w:numId w:val="0"/>
      </w:numPr>
      <w:spacing w:before="240" w:after="0" w:line="259" w:lineRule="auto"/>
      <w:ind w:right="0"/>
      <w:outlineLvl w:val="9"/>
    </w:pPr>
    <w:rPr>
      <w:rFonts w:asciiTheme="majorHAnsi" w:eastAsiaTheme="majorEastAsia" w:hAnsiTheme="majorHAnsi" w:cstheme="majorBidi"/>
      <w:b w:val="0"/>
      <w:color w:val="720026" w:themeColor="accent1" w:themeShade="BF"/>
      <w:sz w:val="32"/>
      <w:szCs w:val="32"/>
      <w:lang w:val="de-AT" w:eastAsia="de-AT"/>
    </w:rPr>
  </w:style>
  <w:style w:type="paragraph" w:styleId="Verzeichnis1">
    <w:name w:val="toc 1"/>
    <w:basedOn w:val="Standard"/>
    <w:next w:val="Standard"/>
    <w:autoRedefine/>
    <w:uiPriority w:val="39"/>
    <w:unhideWhenUsed/>
    <w:rsid w:val="00BD2018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750DF8"/>
    <w:pPr>
      <w:tabs>
        <w:tab w:val="left" w:pos="880"/>
        <w:tab w:val="right" w:leader="dot" w:pos="9911"/>
      </w:tabs>
      <w:spacing w:after="100"/>
      <w:ind w:left="220"/>
    </w:pPr>
  </w:style>
  <w:style w:type="character" w:styleId="BesuchterLink">
    <w:name w:val="FollowedHyperlink"/>
    <w:basedOn w:val="Absatz-Standardschriftart"/>
    <w:uiPriority w:val="99"/>
    <w:semiHidden/>
    <w:unhideWhenUsed/>
    <w:rsid w:val="003B7832"/>
    <w:rPr>
      <w:color w:val="366F79" w:themeColor="followedHyperlink"/>
      <w:u w:val="single"/>
    </w:rPr>
  </w:style>
  <w:style w:type="paragraph" w:styleId="berarbeitung">
    <w:name w:val="Revision"/>
    <w:hidden/>
    <w:uiPriority w:val="99"/>
    <w:semiHidden/>
    <w:rsid w:val="009B1428"/>
    <w:pPr>
      <w:spacing w:line="240" w:lineRule="auto"/>
    </w:pPr>
    <w:rPr>
      <w:lang w:val="de-AT"/>
    </w:rPr>
  </w:style>
  <w:style w:type="character" w:customStyle="1" w:styleId="cf01">
    <w:name w:val="cf01"/>
    <w:basedOn w:val="Absatz-Standardschriftart"/>
    <w:rsid w:val="0001497F"/>
    <w:rPr>
      <w:rFonts w:ascii="Segoe UI" w:hAnsi="Segoe UI" w:cs="Segoe UI" w:hint="default"/>
      <w:sz w:val="18"/>
      <w:szCs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D159E"/>
    <w:rPr>
      <w:rFonts w:cs="Arial"/>
      <w:bCs/>
      <w:iCs/>
      <w:color w:val="991239"/>
      <w:sz w:val="24"/>
      <w:szCs w:val="24"/>
      <w:lang w:val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1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2013AB3D31741ABAE26F0ECF63A377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4499480-4C17-48A3-A487-EDBA5EEAE8CF}"/>
      </w:docPartPr>
      <w:docPartBody>
        <w:p w:rsidR="00AB31D9" w:rsidRDefault="00CC4425">
          <w:pPr>
            <w:pStyle w:val="C2013AB3D31741ABAE26F0ECF63A3779"/>
          </w:pPr>
          <w:r>
            <w:rPr>
              <w:rStyle w:val="Platzhaltertext"/>
            </w:rPr>
            <w:t>[Untertitel]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425"/>
    <w:rsid w:val="000F703C"/>
    <w:rsid w:val="00165F20"/>
    <w:rsid w:val="0020107B"/>
    <w:rsid w:val="002943FB"/>
    <w:rsid w:val="00317847"/>
    <w:rsid w:val="00321C17"/>
    <w:rsid w:val="003C4E51"/>
    <w:rsid w:val="004A7DBE"/>
    <w:rsid w:val="00542754"/>
    <w:rsid w:val="005C5E5F"/>
    <w:rsid w:val="005E5B11"/>
    <w:rsid w:val="00682628"/>
    <w:rsid w:val="00786C70"/>
    <w:rsid w:val="00792978"/>
    <w:rsid w:val="008545BC"/>
    <w:rsid w:val="00895A47"/>
    <w:rsid w:val="009F68C8"/>
    <w:rsid w:val="00AB31D9"/>
    <w:rsid w:val="00CC4425"/>
    <w:rsid w:val="00DC1EDD"/>
    <w:rsid w:val="00DE2412"/>
    <w:rsid w:val="00F04FAF"/>
    <w:rsid w:val="00F10585"/>
    <w:rsid w:val="00F8471C"/>
    <w:rsid w:val="00F84B16"/>
    <w:rsid w:val="00F96484"/>
    <w:rsid w:val="00F96C28"/>
    <w:rsid w:val="00FE21B2"/>
    <w:rsid w:val="00FF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17847"/>
    <w:rPr>
      <w:color w:val="808080"/>
    </w:rPr>
  </w:style>
  <w:style w:type="paragraph" w:customStyle="1" w:styleId="C2013AB3D31741ABAE26F0ECF63A3779">
    <w:name w:val="C2013AB3D31741ABAE26F0ECF63A37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E">
  <a:themeElements>
    <a:clrScheme name="Österreichs Energie">
      <a:dk1>
        <a:srgbClr val="000000"/>
      </a:dk1>
      <a:lt1>
        <a:sysClr val="window" lastClr="FFFFFF"/>
      </a:lt1>
      <a:dk2>
        <a:srgbClr val="5E5E5E"/>
      </a:dk2>
      <a:lt2>
        <a:srgbClr val="A0A0A4"/>
      </a:lt2>
      <a:accent1>
        <a:srgbClr val="990033"/>
      </a:accent1>
      <a:accent2>
        <a:srgbClr val="CC3333"/>
      </a:accent2>
      <a:accent3>
        <a:srgbClr val="366F79"/>
      </a:accent3>
      <a:accent4>
        <a:srgbClr val="A4BCB5"/>
      </a:accent4>
      <a:accent5>
        <a:srgbClr val="4F6E3E"/>
      </a:accent5>
      <a:accent6>
        <a:srgbClr val="A0BA6A"/>
      </a:accent6>
      <a:hlink>
        <a:srgbClr val="366F79"/>
      </a:hlink>
      <a:folHlink>
        <a:srgbClr val="366F79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Subtile Körper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2700" h="25400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</a:spPr>
      <a:bodyPr wrap="square" lIns="0" tIns="46800" rIns="0" rtlCol="0">
        <a:spAutoFit/>
      </a:bodyPr>
      <a:lstStyle>
        <a:defPPr>
          <a:defRPr sz="1400" dirty="0" err="1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OE" id="{B6323AFC-CA01-48CF-B623-CE2FE14772BD}" vid="{62E0E68D-ECAD-4AA4-80B2-7C53A998323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MR_x0020_version xmlns="a5ff7179-4526-4e31-84f3-1e5086ece008" xsi:nil="true"/>
    <Chapter xmlns="a5ff7179-4526-4e31-84f3-1e5086ece008">Executive Summary</Chapter>
    <Abstract xmlns="a5ff7179-4526-4e31-84f3-1e5086ece008" xsi:nil="true"/>
    <Document_x0020_Type xmlns="a5ff7179-4526-4e31-84f3-1e5086ece00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E53488C602EA48B779D6F9D1672068" ma:contentTypeVersion="6" ma:contentTypeDescription="Create a new document." ma:contentTypeScope="" ma:versionID="56a63a5a73c00209d2fd864398357426">
  <xsd:schema xmlns:xsd="http://www.w3.org/2001/XMLSchema" xmlns:xs="http://www.w3.org/2001/XMLSchema" xmlns:p="http://schemas.microsoft.com/office/2006/metadata/properties" xmlns:ns2="a5ff7179-4526-4e31-84f3-1e5086ece008" targetNamespace="http://schemas.microsoft.com/office/2006/metadata/properties" ma:root="true" ma:fieldsID="3ac14e81ba680e4bfd790880a8811a04" ns2:_="">
    <xsd:import namespace="a5ff7179-4526-4e31-84f3-1e5086ece008"/>
    <xsd:element name="properties">
      <xsd:complexType>
        <xsd:sequence>
          <xsd:element name="documentManagement">
            <xsd:complexType>
              <xsd:all>
                <xsd:element ref="ns2:Abstract" minOccurs="0"/>
                <xsd:element ref="ns2:Chapter" minOccurs="0"/>
                <xsd:element ref="ns2:Document_x0020_Type" minOccurs="0"/>
                <xsd:element ref="ns2:MMR_x0020_version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f7179-4526-4e31-84f3-1e5086ece008" elementFormDefault="qualified">
    <xsd:import namespace="http://schemas.microsoft.com/office/2006/documentManagement/types"/>
    <xsd:import namespace="http://schemas.microsoft.com/office/infopath/2007/PartnerControls"/>
    <xsd:element name="Abstract" ma:index="8" nillable="true" ma:displayName="Abstract" ma:internalName="Abstract" ma:readOnly="false">
      <xsd:simpleType>
        <xsd:restriction base="dms:Note"/>
      </xsd:simpleType>
    </xsd:element>
    <xsd:element name="Chapter" ma:index="9" nillable="true" ma:displayName="Chapter" ma:default="Executive Summary" ma:format="Dropdown" ma:internalName="Chapter" ma:readOnly="false">
      <xsd:simpleType>
        <xsd:restriction base="dms:Choice">
          <xsd:enumeration value="Executive Summary"/>
          <xsd:enumeration value="Developments"/>
          <xsd:enumeration value="NTC"/>
          <xsd:enumeration value="70%"/>
          <xsd:enumeration value="Liquidity"/>
          <xsd:enumeration value="Balancing"/>
          <xsd:enumeration value="Flows"/>
        </xsd:restriction>
      </xsd:simpleType>
    </xsd:element>
    <xsd:element name="Document_x0020_Type" ma:index="10" nillable="true" ma:displayName="Document Type" ma:format="Dropdown" ma:internalName="Document_x0020_Type" ma:readOnly="false">
      <xsd:simpleType>
        <xsd:union memberTypes="dms:Text">
          <xsd:simpleType>
            <xsd:restriction base="dms:Choice">
              <xsd:enumeration value="Draft"/>
              <xsd:enumeration value="Data analysis"/>
              <xsd:enumeration value="Internal Team document"/>
            </xsd:restriction>
          </xsd:simpleType>
        </xsd:union>
      </xsd:simpleType>
    </xsd:element>
    <xsd:element name="MMR_x0020_version" ma:index="11" nillable="true" ma:displayName="MMR version" ma:internalName="MMR_x0020_version" ma:readOnly="false">
      <xsd:simpleType>
        <xsd:restriction base="dms:Text">
          <xsd:maxLength value="255"/>
        </xsd:restriction>
      </xsd:simpleType>
    </xsd:element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3D09B3-FF14-43F6-88B5-61FA8A178D9D}"/>
</file>

<file path=customXml/itemProps2.xml><?xml version="1.0" encoding="utf-8"?>
<ds:datastoreItem xmlns:ds="http://schemas.openxmlformats.org/officeDocument/2006/customXml" ds:itemID="{7D278E70-2738-46DB-B745-DE7DAB6A6FB2}"/>
</file>

<file path=customXml/itemProps3.xml><?xml version="1.0" encoding="utf-8"?>
<ds:datastoreItem xmlns:ds="http://schemas.openxmlformats.org/officeDocument/2006/customXml" ds:itemID="{BADFF997-9597-4A84-9DE0-8705AF6442E1}"/>
</file>

<file path=customXml/itemProps4.xml><?xml version="1.0" encoding="utf-8"?>
<ds:datastoreItem xmlns:ds="http://schemas.openxmlformats.org/officeDocument/2006/customXml" ds:itemID="{9027B4E2-39C3-4CC4-9C9E-E827041E8BE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1712</Words>
  <Characters>10790</Characters>
  <Application>Microsoft Office Word</Application>
  <DocSecurity>0</DocSecurity>
  <Lines>89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2022-11-28T09:49:00Z</dcterms:created>
  <dcterms:modified xsi:type="dcterms:W3CDTF">2022-11-28T09:49:00Z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0x01010043E53488C602EA48B779D6F9D1672068</vt:lpwstr>
  </property>
</Properties>
</file>